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AI Risk Register Template</w:t>
      </w:r>
    </w:p>
    <w:p>
      <w:r>
        <w:t xml:space="preserve">From AI Policy Desk: https://www.aipolicydesk.com/blog/ai-risk-register-template-2026 (page updated 2026-10-22T00:30:00Z). Check the page for the latest version before you rely on it.</w:t>
      </w:r>
    </w:p>
    <w:p>
      <w:r>
        <w:t xml:space="preserve">Score = likelihood x impact. Rescore every row for your own tools, delete rows that don't apply and add your own.</w:t>
      </w:r>
    </w:p>
    <w:p>
      <w:pPr>
        <w:pStyle w:val="Heading2"/>
      </w:pPr>
      <w:r>
        <w:t xml:space="preserve">Risk register</w:t>
      </w:r>
    </w:p>
    <w:tbl>
      <w:tblPr>
        <w:tblStyle w:val="TableGrid"/>
        <w:tblW w:w="13680" w:type="dxa"/>
        <w:tblLayout w:type="fixed"/>
      </w:tblPr>
      <w:tblGrid>
        <w:gridCol w:w="624"/>
        <w:gridCol w:w="2998"/>
        <w:gridCol w:w="437"/>
        <w:gridCol w:w="437"/>
        <w:gridCol w:w="687"/>
        <w:gridCol w:w="3248"/>
        <w:gridCol w:w="2748"/>
        <w:gridCol w:w="1249"/>
        <w:gridCol w:w="1249"/>
      </w:tblGrid>
      <w:tr>
        <w:trPr>
          <w:tblHeader/>
        </w:trPr>
        <w:tc>
          <w:tcPr>
            <w:tcW w:w="624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ID</w:t>
            </w:r>
          </w:p>
        </w:tc>
        <w:tc>
          <w:tcPr>
            <w:tcW w:w="299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Risk</w:t>
            </w:r>
          </w:p>
        </w:tc>
        <w:tc>
          <w:tcPr>
            <w:tcW w:w="437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L</w:t>
            </w:r>
          </w:p>
        </w:tc>
        <w:tc>
          <w:tcPr>
            <w:tcW w:w="437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I</w:t>
            </w:r>
          </w:p>
        </w:tc>
        <w:tc>
          <w:tcPr>
            <w:tcW w:w="687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Score</w:t>
            </w:r>
          </w:p>
        </w:tc>
        <w:tc>
          <w:tcPr>
            <w:tcW w:w="324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Control</w:t>
            </w:r>
          </w:p>
        </w:tc>
        <w:tc>
          <w:tcPr>
            <w:tcW w:w="274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Rule or framework</w:t>
            </w:r>
          </w:p>
        </w:tc>
        <w:tc>
          <w:tcPr>
            <w:tcW w:w="1249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Owner</w:t>
            </w:r>
          </w:p>
        </w:tc>
        <w:tc>
          <w:tcPr>
            <w:tcW w:w="1249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Next review</w:t>
            </w: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Staff paste customer or confidential data into personal AI accounts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16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Approved-tools list, company accounts only, a one-page shadow AI policy (https://www.aipolicydesk.com/blog/shadow-ai-policy-small-teams-2026)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GDPR Art. 28(3) processor contract; Art. 30 record of processing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R2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An AI vendor keeps or trains on your inputs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12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Check retention and training terms before purchase; redline the contract (https://www.aipolicydesk.com/blog/ai-vendor-contract-redline-template-2026)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GDPR Art. 28(3); NIST AI RMF Manage 3.1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R3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Made-up facts, figures or citations reach a client or a court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16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A named human checks every citation and number before it leaves the company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Court sanctions for AI-made-up citations (tracker (https://www.aipolicydesk.com/blog/ai-citation-hallucination-court-sanctions-tracker-2026))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R4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 hiring or screening tool treats applicants unfairly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10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Bias audit before use, human review of every rejection the tool drives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EU AI Act Annex III point 4(a); NYC Local Law 144 bias audit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R5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 decision with legal or similar effect is made by software alone, with no human route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10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A human reviews before the decision lands; a way to contest it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GDPR Art. 22(1) and 22(3) (guide (https://www.aipolicydesk.com/blog/gdpr-article-22-automated-decisions-ai-tools-2026))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R6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 customer-facing chatbot hides that it's a bot, or has no route to a person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9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Bot disclosure in the first message; a one-step "agent" option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EU AI Act Art. 50(1); NYC DCWP proposed rule (https://www.aipolicydesk.com/blog/nyc-chatbot-doom-loop-rule-customer-service-checklist-2026)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R7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AI-generated image, audio or video of a real person is published without a label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8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Label rule in the content checklist; consent on file for any real person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EU AI Act Art. 50(4)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R8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 deepfake voice or video of a manager is used to request a payment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15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Call-back on a known number for any new payee or changed bank details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No AI-specific rule: your payment-verification policy (case (https://www.aipolicydesk.com/blog/deepfake-ceo-fraud-fideuram-payment-verification-small-teams-2026))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R9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An AI agent takes an action nobody approved (sends, deletes, pays)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12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Least-privilege access; a human approves anything irreversible (agent vetting (https://www.aipolicydesk.com/blog/meta-muse-zero-day-ai-agent-permissions-vetting-enterprise-2026))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Internal approval policy; NIST AI RMF Manage 1.3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R10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API keys or credentials leak through an AI coding tool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12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Secret scanning on every repo; a key rotation runbook (https://www.aipolicydesk.com/blog/opencode-console-breach-api-key-rotation-checklist-2026)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Internal security policy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R11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 key AI vendor goes down, changes its terms or leaves your market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9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A second model or a manual fallback for each critical workflow (example (https://www.aipolicydesk.com/blog/anthropic-export-ban-vendor-dependency-compliance-2026))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NIST AI RMF Manage 3.1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R12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 vendor or its owner lands on a sanctions or federal exclusion list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Screen vendors against OFAC's SDN and Consolidated lists at onboarding and yearly (NS-MBS case (https://www.aipolicydesk.com/blog/miracleplus-paipa-sanctions-us-ai-teams-2026), FASCSA case (https://www.aipolicydesk.com/blog/dhs-deepseek-ban-federal-contractors-fascsa-2026))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OFAC sanctions lists; FASCSA orders for federal contractors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R13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Nobody knows which AI tools are in use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12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Keep an AI register (https://www.aipolicydesk.com/blog/ai-register-template-free-2026), reviewed quarterly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NIST AI RMF Govern 1.6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R14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You can't produce logs or evidence when a client or regulator asks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9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Decide which tool logs you keep and for how long; store test results with the register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EU AI Act Art. 26(6) (high-risk deployers); Texas TRAIGA Sec. 552.105(e)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R15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Staff aren't told before AI is used to manage or monitor them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Written notice to staff before rollout (workforce policy (https://www.aipolicydesk.com/blog/ai-workforce-governance-policy-template-2026))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EU AI Act Art. 26(7) (high-risk, workplace)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R16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Staff use AI tools without basic training on their limits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8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A short onboarding session and the acceptable use policy (https://www.aipolicydesk.com/blog/ai-acceptable-use-policy-template-small-teams)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EU AI Act Art. 4, as amended by Regulation (EU) 2026/1744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R17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Output copies protected material or someone else's IP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No AI output in shipped code, logos or published copy without a human check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NIST AI RMF Map 4.1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</w:tbl>
    <w:p/>
    <w:p>
      <w:pPr>
        <w:pStyle w:val="Heading2"/>
      </w:pPr>
      <w:r>
        <w:t xml:space="preserve">Scoring scale</w:t>
      </w:r>
    </w:p>
    <w:tbl>
      <w:tblPr>
        <w:tblStyle w:val="TableGrid"/>
        <w:tblW w:w="13680" w:type="dxa"/>
        <w:tblLayout w:type="fixed"/>
      </w:tblPr>
      <w:tblGrid>
        <w:gridCol w:w="1243"/>
        <w:gridCol w:w="6218"/>
        <w:gridCol w:w="6218"/>
      </w:tblGrid>
      <w:tr>
        <w:trPr>
          <w:tblHeader/>
        </w:trPr>
        <w:tc>
          <w:tcPr>
            <w:tcW w:w="1243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Score</w:t>
            </w:r>
          </w:p>
        </w:tc>
        <w:tc>
          <w:tcPr>
            <w:tcW w:w="621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Likelihood: how often</w:t>
            </w:r>
          </w:p>
        </w:tc>
        <w:tc>
          <w:tcPr>
            <w:tcW w:w="621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Impact: how bad</w:t>
            </w:r>
          </w:p>
        </w:tc>
      </w:tr>
      <w:tr>
        <w:trPr>
          <w:cantSplit/>
        </w:trPr>
        <w:tc>
          <w:tcPr>
            <w:tcW w:w="1243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Rare: no known case in your sector; several things would have to fail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Minor: an internal annoyance, fixed in a day, no customer notices</w:t>
            </w:r>
          </w:p>
        </w:tc>
      </w:tr>
      <w:tr>
        <w:trPr>
          <w:cantSplit/>
        </w:trPr>
        <w:tc>
          <w:tcPr>
            <w:tcW w:w="1243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Unlikely: has happened elsewhere, not to you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Limited: one customer or one document affected, fixed within a week</w:t>
            </w:r>
          </w:p>
        </w:tc>
      </w:tr>
      <w:tr>
        <w:trPr>
          <w:cantSplit/>
        </w:trPr>
        <w:tc>
          <w:tcPr>
            <w:tcW w:w="1243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Possible: could happen this year given how you use the tool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Moderate: several customers affected, a complaint, rework or a contract conversation</w:t>
            </w:r>
          </w:p>
        </w:tc>
      </w:tr>
      <w:tr>
        <w:trPr>
          <w:cantSplit/>
        </w:trPr>
        <w:tc>
          <w:tcPr>
            <w:tcW w:w="1243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Likely: has happened to you or a peer, or staff already do it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Major: a regulator's question, a lost client, personal data exposed</w:t>
            </w:r>
          </w:p>
        </w:tc>
      </w:tr>
      <w:tr>
        <w:trPr>
          <w:cantSplit/>
        </w:trPr>
        <w:tc>
          <w:tcPr>
            <w:tcW w:w="1243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Almost certain: happening now or will this quarter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Severe: a fine, a lawsuit, a breach notice, or harm to someone's job, credit or health</w:t>
            </w:r>
          </w:p>
        </w:tc>
      </w:tr>
    </w:tbl>
    <w:p/>
    <w:p>
      <w:pPr>
        <w:pStyle w:val="Heading2"/>
      </w:pPr>
      <w:r>
        <w:t xml:space="preserve">Rating bands</w:t>
      </w:r>
    </w:p>
    <w:tbl>
      <w:tblPr>
        <w:tblStyle w:val="TableGrid"/>
        <w:tblW w:w="13680" w:type="dxa"/>
        <w:tblLayout w:type="fixed"/>
      </w:tblPr>
      <w:tblGrid>
        <w:gridCol w:w="2280"/>
        <w:gridCol w:w="2280"/>
        <w:gridCol w:w="9120"/>
      </w:tblGrid>
      <w:tr>
        <w:trPr>
          <w:tblHeader/>
        </w:trPr>
        <w:tc>
          <w:tcPr>
            <w:tcW w:w="2280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Rating</w:t>
            </w:r>
          </w:p>
        </w:tc>
        <w:tc>
          <w:tcPr>
            <w:tcW w:w="2280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Score from</w:t>
            </w:r>
          </w:p>
        </w:tc>
        <w:tc>
          <w:tcPr>
            <w:tcW w:w="9120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What to do</w:t>
            </w:r>
          </w:p>
        </w:tc>
      </w:tr>
      <w:tr>
        <w:trPr>
          <w:cantSplit/>
        </w:trPr>
        <w:tc>
          <w:tcPr>
            <w:tcW w:w="2280" w:type="dxa"/>
          </w:tcPr>
          <w:p>
            <w:pPr>
              <w:spacing w:after="0"/>
            </w:pPr>
            <w:r>
              <w:t xml:space="preserve">High</w:t>
            </w:r>
          </w:p>
        </w:tc>
        <w:tc>
          <w:tcPr>
            <w:tcW w:w="2280" w:type="dxa"/>
          </w:tcPr>
          <w:p>
            <w:pPr>
              <w:spacing w:after="0"/>
            </w:pPr>
            <w:r>
              <w:t xml:space="preserve">15</w:t>
            </w:r>
          </w:p>
        </w:tc>
        <w:tc>
          <w:tcPr>
            <w:tcW w:w="9120" w:type="dxa"/>
          </w:tcPr>
          <w:p>
            <w:pPr>
              <w:spacing w:after="0"/>
            </w:pPr>
            <w:r>
              <w:t xml:space="preserve">Named owner, a fix date within 30 days, and leadership hears about it at the next meeting</w:t>
            </w:r>
          </w:p>
        </w:tc>
      </w:tr>
      <w:tr>
        <w:trPr>
          <w:cantSplit/>
        </w:trPr>
        <w:tc>
          <w:tcPr>
            <w:tcW w:w="2280" w:type="dxa"/>
          </w:tcPr>
          <w:p>
            <w:pPr>
              <w:spacing w:after="0"/>
            </w:pPr>
            <w:r>
              <w:t xml:space="preserve">Medium</w:t>
            </w:r>
          </w:p>
        </w:tc>
        <w:tc>
          <w:tcPr>
            <w:tcW w:w="2280" w:type="dxa"/>
          </w:tcPr>
          <w:p>
            <w:pPr>
              <w:spacing w:after="0"/>
            </w:pPr>
            <w:r>
              <w:t xml:space="preserve">8</w:t>
            </w:r>
          </w:p>
        </w:tc>
        <w:tc>
          <w:tcPr>
            <w:tcW w:w="9120" w:type="dxa"/>
          </w:tcPr>
          <w:p>
            <w:pPr>
              <w:spacing w:after="0"/>
            </w:pPr>
            <w:r>
              <w:t xml:space="preserve">Named owner and a control in place within the quarter</w:t>
            </w:r>
          </w:p>
        </w:tc>
      </w:tr>
      <w:tr>
        <w:trPr>
          <w:cantSplit/>
        </w:trPr>
        <w:tc>
          <w:tcPr>
            <w:tcW w:w="2280" w:type="dxa"/>
          </w:tcPr>
          <w:p>
            <w:pPr>
              <w:spacing w:after="0"/>
            </w:pPr>
            <w:r>
              <w:t xml:space="preserve">Low</w:t>
            </w:r>
          </w:p>
        </w:tc>
        <w:tc>
          <w:tcPr>
            <w:tcW w:w="2280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9120" w:type="dxa"/>
          </w:tcPr>
          <w:p>
            <w:pPr>
              <w:spacing w:after="0"/>
            </w:pPr>
            <w:r>
              <w:t xml:space="preserve">Accept it, write down why, recheck at the next review</w:t>
            </w:r>
          </w:p>
        </w:tc>
      </w:tr>
    </w:tbl>
    <w:p/>
    <w:sectPr>
      <w:pgSz w:w="15840" w:h="12240" w:orient="landscape"/>
      <w:pgMar w:top="1080" w:right="1080" w:bottom="1080" w:left="108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color w:val="1F3A5F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color w:val="1F3A5F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spacing w:before="160" w:after="60"/>
      <w:outlineLvl w:val="2"/>
    </w:pPr>
    <w:rPr>
      <w:b/>
      <w:sz w:val="23"/>
      <w:szCs w:val="23"/>
    </w:rPr>
  </w:style>
  <w:style w:type="paragraph" w:styleId="ListParagraph">
    <w:name w:val="List Paragraph"/>
    <w:basedOn w:val="Normal"/>
    <w:qFormat/>
    <w:pPr>
      <w:spacing w:after="60"/>
      <w:ind w:left="720"/>
    </w:p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0AEC0"/>
        <w:left w:val="single" w:sz="4" w:space="0" w:color="A0AEC0"/>
        <w:bottom w:val="single" w:sz="4" w:space="0" w:color="A0AEC0"/>
        <w:right w:val="single" w:sz="4" w:space="0" w:color="A0AEC0"/>
        <w:insideH w:val="single" w:sz="4" w:space="0" w:color="A0AEC0"/>
        <w:insideV w:val="single" w:sz="4" w:space="0" w:color="A0AEC0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risk register template</dc:title>
  <dc:creator>AI Policy Desk</dc:creator>
</cp:coreProperties>
</file>