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AI Vendor Due Diligence Checklist</w:t>
      </w:r>
    </w:p>
    <w:p>
      <w:r>
        <w:t xml:space="preserve">From AI Policy Desk: https://www.aipolicydesk.com/blog/ai-vendor-due-diligence-checklist-2026 (page updated 2026-10-13). Check the page for the latest version before you rely on it.</w:t>
      </w:r>
    </w:p>
    <w:p>
      <w:r>
        <w:t xml:space="preserve">Mark each question Pass, Fail or N/A, then count the fails and use the scoring table at the end.</w:t>
      </w:r>
    </w:p>
    <w:p>
      <w:pPr>
        <w:pStyle w:val="Heading2"/>
      </w:pPr>
      <w:r>
        <w:t xml:space="preserve">Section 1 of 5: Security Posture</w:t>
      </w:r>
    </w:p>
    <w:tbl>
      <w:tblPr>
        <w:tblStyle w:val="TableGrid"/>
        <w:tblW w:w="13680" w:type="dxa"/>
        <w:tblLayout w:type="fixed"/>
      </w:tblPr>
      <w:tblGrid>
        <w:gridCol w:w="547"/>
        <w:gridCol w:w="3648"/>
        <w:gridCol w:w="3404"/>
        <w:gridCol w:w="2675"/>
        <w:gridCol w:w="1216"/>
        <w:gridCol w:w="2188"/>
      </w:tblGrid>
      <w:tr>
        <w:trPr>
          <w:tblHeader/>
        </w:trPr>
        <w:tc>
          <w:tcPr>
            <w:tcW w:w="547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3648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Question</w:t>
            </w:r>
          </w:p>
        </w:tc>
        <w:tc>
          <w:tcPr>
            <w:tcW w:w="3404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Pass criterion</w:t>
            </w:r>
          </w:p>
        </w:tc>
        <w:tc>
          <w:tcPr>
            <w:tcW w:w="2675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Vendor deflection risk</w:t>
            </w:r>
          </w:p>
        </w:tc>
        <w:tc>
          <w:tcPr>
            <w:tcW w:w="1216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Result</w:t>
            </w:r>
          </w:p>
        </w:tc>
        <w:tc>
          <w:tcPr>
            <w:tcW w:w="2188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Notes</w:t>
            </w:r>
          </w:p>
        </w:tc>
      </w:tr>
      <w:tr>
        <w:trPr>
          <w:cantSplit/>
        </w:trPr>
        <w:tc>
          <w:tcPr>
            <w:tcW w:w="547" w:type="dxa"/>
          </w:tcPr>
          <w:p>
            <w:pPr>
              <w:spacing w:after="0"/>
            </w:pPr>
            <w:r>
              <w:t xml:space="preserve">1</w:t>
            </w:r>
          </w:p>
        </w:tc>
        <w:tc>
          <w:tcPr>
            <w:tcW w:w="3648" w:type="dxa"/>
          </w:tcPr>
          <w:p>
            <w:pPr>
              <w:spacing w:after="0"/>
            </w:pPr>
            <w:r>
              <w:t xml:space="preserve">Does the vendor have a SOC 2 Type II report?</w:t>
            </w:r>
          </w:p>
        </w:tc>
        <w:tc>
          <w:tcPr>
            <w:tcW w:w="3404" w:type="dxa"/>
          </w:tcPr>
          <w:p>
            <w:pPr>
              <w:spacing w:after="0"/>
            </w:pPr>
            <w:r>
              <w:t xml:space="preserve">Yes, covering a period that ended within the last 12 months</w:t>
            </w:r>
          </w:p>
        </w:tc>
        <w:tc>
          <w:tcPr>
            <w:tcW w:w="2675" w:type="dxa"/>
          </w:tcPr>
          <w:p>
            <w:pPr>
              <w:spacing w:after="0"/>
            </w:pPr>
            <w:r>
              <w:t xml:space="preserve">High, "in progress" can last a long time</w:t>
            </w:r>
          </w:p>
        </w:tc>
        <w:tc>
          <w:tcPr>
            <w:tcW w:w="1216" w:type="dxa"/>
          </w:tcPr>
          <w:p>
            <w:pPr>
              <w:spacing w:after="0"/>
            </w:pPr>
          </w:p>
        </w:tc>
        <w:tc>
          <w:tcPr>
            <w:tcW w:w="218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47" w:type="dxa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w="3648" w:type="dxa"/>
          </w:tcPr>
          <w:p>
            <w:pPr>
              <w:spacing w:after="0"/>
            </w:pPr>
            <w:r>
              <w:t xml:space="preserve">Is the SOC 2 report available for customer review (under NDA)?</w:t>
            </w:r>
          </w:p>
        </w:tc>
        <w:tc>
          <w:tcPr>
            <w:tcW w:w="3404" w:type="dxa"/>
          </w:tcPr>
          <w:p>
            <w:pPr>
              <w:spacing w:after="0"/>
            </w:pPr>
            <w:r>
              <w:t xml:space="preserve">Yes, the full report, not only a summary or bridge letter</w:t>
            </w:r>
          </w:p>
        </w:tc>
        <w:tc>
          <w:tcPr>
            <w:tcW w:w="2675" w:type="dxa"/>
          </w:tcPr>
          <w:p>
            <w:pPr>
              <w:spacing w:after="0"/>
            </w:pPr>
            <w:r>
              <w:t xml:space="preserve">Medium, some share only summaries</w:t>
            </w:r>
          </w:p>
        </w:tc>
        <w:tc>
          <w:tcPr>
            <w:tcW w:w="1216" w:type="dxa"/>
          </w:tcPr>
          <w:p>
            <w:pPr>
              <w:spacing w:after="0"/>
            </w:pPr>
          </w:p>
        </w:tc>
        <w:tc>
          <w:tcPr>
            <w:tcW w:w="218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47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3648" w:type="dxa"/>
          </w:tcPr>
          <w:p>
            <w:pPr>
              <w:spacing w:after="0"/>
            </w:pPr>
            <w:r>
              <w:t xml:space="preserve">What was the last penetration test date?</w:t>
            </w:r>
          </w:p>
        </w:tc>
        <w:tc>
          <w:tcPr>
            <w:tcW w:w="3404" w:type="dxa"/>
          </w:tcPr>
          <w:p>
            <w:pPr>
              <w:spacing w:after="0"/>
            </w:pPr>
            <w:r>
              <w:t xml:space="preserve">Within 12 months, by a named third party</w:t>
            </w:r>
          </w:p>
        </w:tc>
        <w:tc>
          <w:tcPr>
            <w:tcW w:w="2675" w:type="dxa"/>
          </w:tcPr>
          <w:p>
            <w:pPr>
              <w:spacing w:after="0"/>
            </w:pPr>
            <w:r>
              <w:t xml:space="preserve">High, many vendors share a summary at most</w:t>
            </w:r>
          </w:p>
        </w:tc>
        <w:tc>
          <w:tcPr>
            <w:tcW w:w="1216" w:type="dxa"/>
          </w:tcPr>
          <w:p>
            <w:pPr>
              <w:spacing w:after="0"/>
            </w:pPr>
          </w:p>
        </w:tc>
        <w:tc>
          <w:tcPr>
            <w:tcW w:w="218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47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3648" w:type="dxa"/>
          </w:tcPr>
          <w:p>
            <w:pPr>
              <w:spacing w:after="0"/>
            </w:pPr>
            <w:r>
              <w:t xml:space="preserve">Is there a vulnerability disclosure policy?</w:t>
            </w:r>
          </w:p>
        </w:tc>
        <w:tc>
          <w:tcPr>
            <w:tcW w:w="3404" w:type="dxa"/>
          </w:tcPr>
          <w:p>
            <w:pPr>
              <w:spacing w:after="0"/>
            </w:pPr>
            <w:r>
              <w:t xml:space="preserve">Yes, at a public URL</w:t>
            </w:r>
          </w:p>
        </w:tc>
        <w:tc>
          <w:tcPr>
            <w:tcW w:w="2675" w:type="dxa"/>
          </w:tcPr>
          <w:p>
            <w:pPr>
              <w:spacing w:after="0"/>
            </w:pPr>
            <w:r>
              <w:t xml:space="preserve">Low</w:t>
            </w:r>
          </w:p>
        </w:tc>
        <w:tc>
          <w:tcPr>
            <w:tcW w:w="1216" w:type="dxa"/>
          </w:tcPr>
          <w:p>
            <w:pPr>
              <w:spacing w:after="0"/>
            </w:pPr>
          </w:p>
        </w:tc>
        <w:tc>
          <w:tcPr>
            <w:tcW w:w="218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47" w:type="dxa"/>
          </w:tcPr>
          <w:p>
            <w:pPr>
              <w:spacing w:after="0"/>
            </w:pPr>
            <w:r>
              <w:t xml:space="preserve">5</w:t>
            </w:r>
          </w:p>
        </w:tc>
        <w:tc>
          <w:tcPr>
            <w:tcW w:w="3648" w:type="dxa"/>
          </w:tcPr>
          <w:p>
            <w:pPr>
              <w:spacing w:after="0"/>
            </w:pPr>
            <w:r>
              <w:t xml:space="preserve">How is customer data encrypted at rest and in transit?</w:t>
            </w:r>
          </w:p>
        </w:tc>
        <w:tc>
          <w:tcPr>
            <w:tcW w:w="3404" w:type="dxa"/>
          </w:tcPr>
          <w:p>
            <w:pPr>
              <w:spacing w:after="0"/>
            </w:pPr>
            <w:r>
              <w:t xml:space="preserve">AES-256 at rest, TLS 1.2 or later in transit</w:t>
            </w:r>
          </w:p>
        </w:tc>
        <w:tc>
          <w:tcPr>
            <w:tcW w:w="2675" w:type="dxa"/>
          </w:tcPr>
          <w:p>
            <w:pPr>
              <w:spacing w:after="0"/>
            </w:pPr>
            <w:r>
              <w:t xml:space="preserve">Low</w:t>
            </w:r>
          </w:p>
        </w:tc>
        <w:tc>
          <w:tcPr>
            <w:tcW w:w="1216" w:type="dxa"/>
          </w:tcPr>
          <w:p>
            <w:pPr>
              <w:spacing w:after="0"/>
            </w:pPr>
          </w:p>
        </w:tc>
        <w:tc>
          <w:tcPr>
            <w:tcW w:w="218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47" w:type="dxa"/>
          </w:tcPr>
          <w:p>
            <w:pPr>
              <w:spacing w:after="0"/>
            </w:pPr>
            <w:r>
              <w:t xml:space="preserve">6</w:t>
            </w:r>
          </w:p>
        </w:tc>
        <w:tc>
          <w:tcPr>
            <w:tcW w:w="3648" w:type="dxa"/>
          </w:tcPr>
          <w:p>
            <w:pPr>
              <w:spacing w:after="0"/>
            </w:pPr>
            <w:r>
              <w:t xml:space="preserve">What is the contractual deadline for telling you about a breach that affects your data?</w:t>
            </w:r>
          </w:p>
        </w:tc>
        <w:tc>
          <w:tcPr>
            <w:tcW w:w="3404" w:type="dxa"/>
          </w:tcPr>
          <w:p>
            <w:pPr>
              <w:spacing w:after="0"/>
            </w:pPr>
            <w:r>
              <w:t xml:space="preserve">A fixed outer limit in the DPA, short enough to leave room inside your own 72 hours</w:t>
            </w:r>
          </w:p>
        </w:tc>
        <w:tc>
          <w:tcPr>
            <w:tcW w:w="2675" w:type="dxa"/>
          </w:tcPr>
          <w:p>
            <w:pPr>
              <w:spacing w:after="0"/>
            </w:pPr>
            <w:r>
              <w:t xml:space="preserve">Medium, many DPAs say only "without undue delay"</w:t>
            </w:r>
          </w:p>
        </w:tc>
        <w:tc>
          <w:tcPr>
            <w:tcW w:w="1216" w:type="dxa"/>
          </w:tcPr>
          <w:p>
            <w:pPr>
              <w:spacing w:after="0"/>
            </w:pPr>
          </w:p>
        </w:tc>
        <w:tc>
          <w:tcPr>
            <w:tcW w:w="2188" w:type="dxa"/>
          </w:tcPr>
          <w:p>
            <w:pPr>
              <w:spacing w:after="0"/>
            </w:pPr>
          </w:p>
        </w:tc>
      </w:tr>
    </w:tbl>
    <w:p/>
    <w:p>
      <w:pPr>
        <w:pStyle w:val="Heading2"/>
      </w:pPr>
      <w:r>
        <w:t xml:space="preserve">Section 2 of 5: Data Handling and AI Training</w:t>
      </w:r>
    </w:p>
    <w:tbl>
      <w:tblPr>
        <w:tblStyle w:val="TableGrid"/>
        <w:tblW w:w="13680" w:type="dxa"/>
        <w:tblLayout w:type="fixed"/>
      </w:tblPr>
      <w:tblGrid>
        <w:gridCol w:w="547"/>
        <w:gridCol w:w="3648"/>
        <w:gridCol w:w="3404"/>
        <w:gridCol w:w="2675"/>
        <w:gridCol w:w="1216"/>
        <w:gridCol w:w="2188"/>
      </w:tblGrid>
      <w:tr>
        <w:trPr>
          <w:tblHeader/>
        </w:trPr>
        <w:tc>
          <w:tcPr>
            <w:tcW w:w="547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3648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Question</w:t>
            </w:r>
          </w:p>
        </w:tc>
        <w:tc>
          <w:tcPr>
            <w:tcW w:w="3404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Pass criterion</w:t>
            </w:r>
          </w:p>
        </w:tc>
        <w:tc>
          <w:tcPr>
            <w:tcW w:w="2675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Vendor deflection risk</w:t>
            </w:r>
          </w:p>
        </w:tc>
        <w:tc>
          <w:tcPr>
            <w:tcW w:w="1216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Result</w:t>
            </w:r>
          </w:p>
        </w:tc>
        <w:tc>
          <w:tcPr>
            <w:tcW w:w="2188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Notes</w:t>
            </w:r>
          </w:p>
        </w:tc>
      </w:tr>
      <w:tr>
        <w:trPr>
          <w:cantSplit/>
        </w:trPr>
        <w:tc>
          <w:tcPr>
            <w:tcW w:w="547" w:type="dxa"/>
          </w:tcPr>
          <w:p>
            <w:pPr>
              <w:spacing w:after="0"/>
            </w:pPr>
            <w:r>
              <w:t xml:space="preserve">7</w:t>
            </w:r>
          </w:p>
        </w:tc>
        <w:tc>
          <w:tcPr>
            <w:tcW w:w="3648" w:type="dxa"/>
          </w:tcPr>
          <w:p>
            <w:pPr>
              <w:spacing w:after="0"/>
            </w:pPr>
            <w:r>
              <w:t xml:space="preserve">Is customer data used to train or fine-tune the vendor's models on the plan you will buy?</w:t>
            </w:r>
          </w:p>
        </w:tc>
        <w:tc>
          <w:tcPr>
            <w:tcW w:w="3404" w:type="dxa"/>
          </w:tcPr>
          <w:p>
            <w:pPr>
              <w:spacing w:after="0"/>
            </w:pPr>
            <w:r>
              <w:t xml:space="preserve">No, in the published terms or DPA</w:t>
            </w:r>
          </w:p>
        </w:tc>
        <w:tc>
          <w:tcPr>
            <w:tcW w:w="2675" w:type="dxa"/>
          </w:tcPr>
          <w:p>
            <w:pPr>
              <w:spacing w:after="0"/>
            </w:pPr>
            <w:r>
              <w:t xml:space="preserve">Depends on tier: business and API terms often say no, consumer plans often differ</w:t>
            </w:r>
          </w:p>
        </w:tc>
        <w:tc>
          <w:tcPr>
            <w:tcW w:w="1216" w:type="dxa"/>
          </w:tcPr>
          <w:p>
            <w:pPr>
              <w:spacing w:after="0"/>
            </w:pPr>
          </w:p>
        </w:tc>
        <w:tc>
          <w:tcPr>
            <w:tcW w:w="218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47" w:type="dxa"/>
          </w:tcPr>
          <w:p>
            <w:pPr>
              <w:spacing w:after="0"/>
            </w:pPr>
            <w:r>
              <w:t xml:space="preserve">8</w:t>
            </w:r>
          </w:p>
        </w:tc>
        <w:tc>
          <w:tcPr>
            <w:tcW w:w="3648" w:type="dxa"/>
          </w:tcPr>
          <w:p>
            <w:pPr>
              <w:spacing w:after="0"/>
            </w:pPr>
            <w:r>
              <w:t xml:space="preserve">If training is on by default, is there an opt-out?</w:t>
            </w:r>
          </w:p>
        </w:tc>
        <w:tc>
          <w:tcPr>
            <w:tcW w:w="3404" w:type="dxa"/>
          </w:tcPr>
          <w:p>
            <w:pPr>
              <w:spacing w:after="0"/>
            </w:pPr>
            <w:r>
              <w:t xml:space="preserve">Yes, confirmed in the contract or DPA</w:t>
            </w:r>
          </w:p>
        </w:tc>
        <w:tc>
          <w:tcPr>
            <w:tcW w:w="2675" w:type="dxa"/>
          </w:tcPr>
          <w:p>
            <w:pPr>
              <w:spacing w:after="0"/>
            </w:pPr>
            <w:r>
              <w:t xml:space="preserve">High, opt-out may need a higher tier or a request</w:t>
            </w:r>
          </w:p>
        </w:tc>
        <w:tc>
          <w:tcPr>
            <w:tcW w:w="1216" w:type="dxa"/>
          </w:tcPr>
          <w:p>
            <w:pPr>
              <w:spacing w:after="0"/>
            </w:pPr>
          </w:p>
        </w:tc>
        <w:tc>
          <w:tcPr>
            <w:tcW w:w="218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47" w:type="dxa"/>
          </w:tcPr>
          <w:p>
            <w:pPr>
              <w:spacing w:after="0"/>
            </w:pPr>
            <w:r>
              <w:t xml:space="preserve">9</w:t>
            </w:r>
          </w:p>
        </w:tc>
        <w:tc>
          <w:tcPr>
            <w:tcW w:w="3648" w:type="dxa"/>
          </w:tcPr>
          <w:p>
            <w:pPr>
              <w:spacing w:after="0"/>
            </w:pPr>
            <w:r>
              <w:t xml:space="preserve">What is the retention period for inputs and outputs?</w:t>
            </w:r>
          </w:p>
        </w:tc>
        <w:tc>
          <w:tcPr>
            <w:tcW w:w="3404" w:type="dxa"/>
          </w:tcPr>
          <w:p>
            <w:pPr>
              <w:spacing w:after="0"/>
            </w:pPr>
            <w:r>
              <w:t xml:space="preserve">Stated in writing, 30 days or less for prompts</w:t>
            </w:r>
          </w:p>
        </w:tc>
        <w:tc>
          <w:tcPr>
            <w:tcW w:w="2675" w:type="dxa"/>
          </w:tcPr>
          <w:p>
            <w:pPr>
              <w:spacing w:after="0"/>
            </w:pPr>
            <w:r>
              <w:t xml:space="preserve">Medium, and it can differ by model</w:t>
            </w:r>
          </w:p>
        </w:tc>
        <w:tc>
          <w:tcPr>
            <w:tcW w:w="1216" w:type="dxa"/>
          </w:tcPr>
          <w:p>
            <w:pPr>
              <w:spacing w:after="0"/>
            </w:pPr>
          </w:p>
        </w:tc>
        <w:tc>
          <w:tcPr>
            <w:tcW w:w="218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47" w:type="dxa"/>
          </w:tcPr>
          <w:p>
            <w:pPr>
              <w:spacing w:after="0"/>
            </w:pPr>
            <w:r>
              <w:t xml:space="preserve">10</w:t>
            </w:r>
          </w:p>
        </w:tc>
        <w:tc>
          <w:tcPr>
            <w:tcW w:w="3648" w:type="dxa"/>
          </w:tcPr>
          <w:p>
            <w:pPr>
              <w:spacing w:after="0"/>
            </w:pPr>
            <w:r>
              <w:t xml:space="preserve">Who inside the vendor can access customer data?</w:t>
            </w:r>
          </w:p>
        </w:tc>
        <w:tc>
          <w:tcPr>
            <w:tcW w:w="3404" w:type="dxa"/>
          </w:tcPr>
          <w:p>
            <w:pPr>
              <w:spacing w:after="0"/>
            </w:pPr>
            <w:r>
              <w:t xml:space="preserve">Named roles and a controlled access process</w:t>
            </w:r>
          </w:p>
        </w:tc>
        <w:tc>
          <w:tcPr>
            <w:tcW w:w="2675" w:type="dxa"/>
          </w:tcPr>
          <w:p>
            <w:pPr>
              <w:spacing w:after="0"/>
            </w:pPr>
            <w:r>
              <w:t xml:space="preserve">Medium</w:t>
            </w:r>
          </w:p>
        </w:tc>
        <w:tc>
          <w:tcPr>
            <w:tcW w:w="1216" w:type="dxa"/>
          </w:tcPr>
          <w:p>
            <w:pPr>
              <w:spacing w:after="0"/>
            </w:pPr>
          </w:p>
        </w:tc>
        <w:tc>
          <w:tcPr>
            <w:tcW w:w="218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47" w:type="dxa"/>
          </w:tcPr>
          <w:p>
            <w:pPr>
              <w:spacing w:after="0"/>
            </w:pPr>
            <w:r>
              <w:t xml:space="preserve">11</w:t>
            </w:r>
          </w:p>
        </w:tc>
        <w:tc>
          <w:tcPr>
            <w:tcW w:w="3648" w:type="dxa"/>
          </w:tcPr>
          <w:p>
            <w:pPr>
              <w:spacing w:after="0"/>
            </w:pPr>
            <w:r>
              <w:t xml:space="preserve">Is your data separated from other customers' data?</w:t>
            </w:r>
          </w:p>
        </w:tc>
        <w:tc>
          <w:tcPr>
            <w:tcW w:w="3404" w:type="dxa"/>
          </w:tcPr>
          <w:p>
            <w:pPr>
              <w:spacing w:after="0"/>
            </w:pPr>
            <w:r>
              <w:t xml:space="preserve">Yes, logical or physical separation described</w:t>
            </w:r>
          </w:p>
        </w:tc>
        <w:tc>
          <w:tcPr>
            <w:tcW w:w="2675" w:type="dxa"/>
          </w:tcPr>
          <w:p>
            <w:pPr>
              <w:spacing w:after="0"/>
            </w:pPr>
            <w:r>
              <w:t xml:space="preserve">Low for cloud services</w:t>
            </w:r>
          </w:p>
        </w:tc>
        <w:tc>
          <w:tcPr>
            <w:tcW w:w="1216" w:type="dxa"/>
          </w:tcPr>
          <w:p>
            <w:pPr>
              <w:spacing w:after="0"/>
            </w:pPr>
          </w:p>
        </w:tc>
        <w:tc>
          <w:tcPr>
            <w:tcW w:w="218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47" w:type="dxa"/>
          </w:tcPr>
          <w:p>
            <w:pPr>
              <w:spacing w:after="0"/>
            </w:pPr>
            <w:r>
              <w:t xml:space="preserve">12</w:t>
            </w:r>
          </w:p>
        </w:tc>
        <w:tc>
          <w:tcPr>
            <w:tcW w:w="3648" w:type="dxa"/>
          </w:tcPr>
          <w:p>
            <w:pPr>
              <w:spacing w:after="0"/>
            </w:pPr>
            <w:r>
              <w:t xml:space="preserve">What happens to your data at termination?</w:t>
            </w:r>
          </w:p>
        </w:tc>
        <w:tc>
          <w:tcPr>
            <w:tcW w:w="3404" w:type="dxa"/>
          </w:tcPr>
          <w:p>
            <w:pPr>
              <w:spacing w:after="0"/>
            </w:pPr>
            <w:r>
              <w:t xml:space="preserve">Deleted within 30 days, with written confirmation</w:t>
            </w:r>
          </w:p>
        </w:tc>
        <w:tc>
          <w:tcPr>
            <w:tcW w:w="2675" w:type="dxa"/>
          </w:tcPr>
          <w:p>
            <w:pPr>
              <w:spacing w:after="0"/>
            </w:pPr>
            <w:r>
              <w:t xml:space="preserve">Medium, some DPAs delete only on your instruction</w:t>
            </w:r>
          </w:p>
        </w:tc>
        <w:tc>
          <w:tcPr>
            <w:tcW w:w="1216" w:type="dxa"/>
          </w:tcPr>
          <w:p>
            <w:pPr>
              <w:spacing w:after="0"/>
            </w:pPr>
          </w:p>
        </w:tc>
        <w:tc>
          <w:tcPr>
            <w:tcW w:w="218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47" w:type="dxa"/>
          </w:tcPr>
          <w:p>
            <w:pPr>
              <w:spacing w:after="0"/>
            </w:pPr>
            <w:r>
              <w:t xml:space="preserve">13</w:t>
            </w:r>
          </w:p>
        </w:tc>
        <w:tc>
          <w:tcPr>
            <w:tcW w:w="3648" w:type="dxa"/>
          </w:tcPr>
          <w:p>
            <w:pPr>
              <w:spacing w:after="0"/>
            </w:pPr>
            <w:r>
              <w:t xml:space="preserve">Does the vendor share customer data with third parties for anything other than service delivery?</w:t>
            </w:r>
          </w:p>
        </w:tc>
        <w:tc>
          <w:tcPr>
            <w:tcW w:w="3404" w:type="dxa"/>
          </w:tcPr>
          <w:p>
            <w:pPr>
              <w:spacing w:after="0"/>
            </w:pPr>
            <w:r>
              <w:t xml:space="preserve">No, confirmed in the DPA</w:t>
            </w:r>
          </w:p>
        </w:tc>
        <w:tc>
          <w:tcPr>
            <w:tcW w:w="2675" w:type="dxa"/>
          </w:tcPr>
          <w:p>
            <w:pPr>
              <w:spacing w:after="0"/>
            </w:pPr>
            <w:r>
              <w:t xml:space="preserve">Low if a DPA exists</w:t>
            </w:r>
          </w:p>
        </w:tc>
        <w:tc>
          <w:tcPr>
            <w:tcW w:w="1216" w:type="dxa"/>
          </w:tcPr>
          <w:p>
            <w:pPr>
              <w:spacing w:after="0"/>
            </w:pPr>
          </w:p>
        </w:tc>
        <w:tc>
          <w:tcPr>
            <w:tcW w:w="2188" w:type="dxa"/>
          </w:tcPr>
          <w:p>
            <w:pPr>
              <w:spacing w:after="0"/>
            </w:pPr>
          </w:p>
        </w:tc>
      </w:tr>
    </w:tbl>
    <w:p/>
    <w:p>
      <w:pPr>
        <w:pStyle w:val="Heading2"/>
      </w:pPr>
      <w:r>
        <w:t xml:space="preserve">Section 3 of 5: Legal and Contract Terms</w:t>
      </w:r>
    </w:p>
    <w:tbl>
      <w:tblPr>
        <w:tblStyle w:val="TableGrid"/>
        <w:tblW w:w="13680" w:type="dxa"/>
        <w:tblLayout w:type="fixed"/>
      </w:tblPr>
      <w:tblGrid>
        <w:gridCol w:w="547"/>
        <w:gridCol w:w="3648"/>
        <w:gridCol w:w="3404"/>
        <w:gridCol w:w="2675"/>
        <w:gridCol w:w="1216"/>
        <w:gridCol w:w="2188"/>
      </w:tblGrid>
      <w:tr>
        <w:trPr>
          <w:tblHeader/>
        </w:trPr>
        <w:tc>
          <w:tcPr>
            <w:tcW w:w="547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3648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Question</w:t>
            </w:r>
          </w:p>
        </w:tc>
        <w:tc>
          <w:tcPr>
            <w:tcW w:w="3404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Pass criterion</w:t>
            </w:r>
          </w:p>
        </w:tc>
        <w:tc>
          <w:tcPr>
            <w:tcW w:w="2675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Vendor deflection risk</w:t>
            </w:r>
          </w:p>
        </w:tc>
        <w:tc>
          <w:tcPr>
            <w:tcW w:w="1216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Result</w:t>
            </w:r>
          </w:p>
        </w:tc>
        <w:tc>
          <w:tcPr>
            <w:tcW w:w="2188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Notes</w:t>
            </w:r>
          </w:p>
        </w:tc>
      </w:tr>
      <w:tr>
        <w:trPr>
          <w:cantSplit/>
        </w:trPr>
        <w:tc>
          <w:tcPr>
            <w:tcW w:w="547" w:type="dxa"/>
          </w:tcPr>
          <w:p>
            <w:pPr>
              <w:spacing w:after="0"/>
            </w:pPr>
            <w:r>
              <w:t xml:space="preserve">14</w:t>
            </w:r>
          </w:p>
        </w:tc>
        <w:tc>
          <w:tcPr>
            <w:tcW w:w="3648" w:type="dxa"/>
          </w:tcPr>
          <w:p>
            <w:pPr>
              <w:spacing w:after="0"/>
            </w:pPr>
            <w:r>
              <w:t xml:space="preserve">Is a Data Processing Agreement (DPA) available?</w:t>
            </w:r>
          </w:p>
        </w:tc>
        <w:tc>
          <w:tcPr>
            <w:tcW w:w="3404" w:type="dxa"/>
          </w:tcPr>
          <w:p>
            <w:pPr>
              <w:spacing w:after="0"/>
            </w:pPr>
            <w:r>
              <w:t xml:space="preserve">Yes, published or available to sign</w:t>
            </w:r>
          </w:p>
        </w:tc>
        <w:tc>
          <w:tcPr>
            <w:tcW w:w="2675" w:type="dxa"/>
          </w:tcPr>
          <w:p>
            <w:pPr>
              <w:spacing w:after="0"/>
            </w:pPr>
            <w:r>
              <w:t xml:space="preserve">Low for established vendors, higher for startups</w:t>
            </w:r>
          </w:p>
        </w:tc>
        <w:tc>
          <w:tcPr>
            <w:tcW w:w="1216" w:type="dxa"/>
          </w:tcPr>
          <w:p>
            <w:pPr>
              <w:spacing w:after="0"/>
            </w:pPr>
          </w:p>
        </w:tc>
        <w:tc>
          <w:tcPr>
            <w:tcW w:w="218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47" w:type="dxa"/>
          </w:tcPr>
          <w:p>
            <w:pPr>
              <w:spacing w:after="0"/>
            </w:pPr>
            <w:r>
              <w:t xml:space="preserve">15</w:t>
            </w:r>
          </w:p>
        </w:tc>
        <w:tc>
          <w:tcPr>
            <w:tcW w:w="3648" w:type="dxa"/>
          </w:tcPr>
          <w:p>
            <w:pPr>
              <w:spacing w:after="0"/>
            </w:pPr>
            <w:r>
              <w:t xml:space="preserve">Does the DPA name the vendor as a processor (not a controller)?</w:t>
            </w:r>
          </w:p>
        </w:tc>
        <w:tc>
          <w:tcPr>
            <w:tcW w:w="3404" w:type="dxa"/>
          </w:tcPr>
          <w:p>
            <w:pPr>
              <w:spacing w:after="0"/>
            </w:pPr>
            <w:r>
              <w:t xml:space="preserve">Yes, stated explicitly</w:t>
            </w:r>
          </w:p>
        </w:tc>
        <w:tc>
          <w:tcPr>
            <w:tcW w:w="2675" w:type="dxa"/>
          </w:tcPr>
          <w:p>
            <w:pPr>
              <w:spacing w:after="0"/>
            </w:pPr>
            <w:r>
              <w:t xml:space="preserve">Medium</w:t>
            </w:r>
          </w:p>
        </w:tc>
        <w:tc>
          <w:tcPr>
            <w:tcW w:w="1216" w:type="dxa"/>
          </w:tcPr>
          <w:p>
            <w:pPr>
              <w:spacing w:after="0"/>
            </w:pPr>
          </w:p>
        </w:tc>
        <w:tc>
          <w:tcPr>
            <w:tcW w:w="218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47" w:type="dxa"/>
          </w:tcPr>
          <w:p>
            <w:pPr>
              <w:spacing w:after="0"/>
            </w:pPr>
            <w:r>
              <w:t xml:space="preserve">16</w:t>
            </w:r>
          </w:p>
        </w:tc>
        <w:tc>
          <w:tcPr>
            <w:tcW w:w="3648" w:type="dxa"/>
          </w:tcPr>
          <w:p>
            <w:pPr>
              <w:spacing w:after="0"/>
            </w:pPr>
            <w:r>
              <w:t xml:space="preserve">What is the liability position for AI-generated errors?</w:t>
            </w:r>
          </w:p>
        </w:tc>
        <w:tc>
          <w:tcPr>
            <w:tcW w:w="3404" w:type="dxa"/>
          </w:tcPr>
          <w:p>
            <w:pPr>
              <w:spacing w:after="0"/>
            </w:pPr>
            <w:r>
              <w:t xml:space="preserve">Stated, with a cap you understand, rather than silence</w:t>
            </w:r>
          </w:p>
        </w:tc>
        <w:tc>
          <w:tcPr>
            <w:tcW w:w="2675" w:type="dxa"/>
          </w:tcPr>
          <w:p>
            <w:pPr>
              <w:spacing w:after="0"/>
            </w:pPr>
            <w:r>
              <w:t xml:space="preserve">High, output liability is usually limited or excluded</w:t>
            </w:r>
          </w:p>
        </w:tc>
        <w:tc>
          <w:tcPr>
            <w:tcW w:w="1216" w:type="dxa"/>
          </w:tcPr>
          <w:p>
            <w:pPr>
              <w:spacing w:after="0"/>
            </w:pPr>
          </w:p>
        </w:tc>
        <w:tc>
          <w:tcPr>
            <w:tcW w:w="218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47" w:type="dxa"/>
          </w:tcPr>
          <w:p>
            <w:pPr>
              <w:spacing w:after="0"/>
            </w:pPr>
            <w:r>
              <w:t xml:space="preserve">17</w:t>
            </w:r>
          </w:p>
        </w:tc>
        <w:tc>
          <w:tcPr>
            <w:tcW w:w="3648" w:type="dxa"/>
          </w:tcPr>
          <w:p>
            <w:pPr>
              <w:spacing w:after="0"/>
            </w:pPr>
            <w:r>
              <w:t xml:space="preserve">Is there a subprocessor list and a change notice?</w:t>
            </w:r>
          </w:p>
        </w:tc>
        <w:tc>
          <w:tcPr>
            <w:tcW w:w="3404" w:type="dxa"/>
          </w:tcPr>
          <w:p>
            <w:pPr>
              <w:spacing w:after="0"/>
            </w:pPr>
            <w:r>
              <w:t xml:space="preserve">Yes, with notice of changes and a right to object</w:t>
            </w:r>
          </w:p>
        </w:tc>
        <w:tc>
          <w:tcPr>
            <w:tcW w:w="2675" w:type="dxa"/>
          </w:tcPr>
          <w:p>
            <w:pPr>
              <w:spacing w:after="0"/>
            </w:pPr>
            <w:r>
              <w:t xml:space="preserve">Medium</w:t>
            </w:r>
          </w:p>
        </w:tc>
        <w:tc>
          <w:tcPr>
            <w:tcW w:w="1216" w:type="dxa"/>
          </w:tcPr>
          <w:p>
            <w:pPr>
              <w:spacing w:after="0"/>
            </w:pPr>
          </w:p>
        </w:tc>
        <w:tc>
          <w:tcPr>
            <w:tcW w:w="218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47" w:type="dxa"/>
          </w:tcPr>
          <w:p>
            <w:pPr>
              <w:spacing w:after="0"/>
            </w:pPr>
            <w:r>
              <w:t xml:space="preserve">18</w:t>
            </w:r>
          </w:p>
        </w:tc>
        <w:tc>
          <w:tcPr>
            <w:tcW w:w="3648" w:type="dxa"/>
          </w:tcPr>
          <w:p>
            <w:pPr>
              <w:spacing w:after="0"/>
            </w:pPr>
            <w:r>
              <w:t xml:space="preserve">Who owns outputs, and can you use them commercially?</w:t>
            </w:r>
          </w:p>
        </w:tc>
        <w:tc>
          <w:tcPr>
            <w:tcW w:w="3404" w:type="dxa"/>
          </w:tcPr>
          <w:p>
            <w:pPr>
              <w:spacing w:after="0"/>
            </w:pPr>
            <w:r>
              <w:t xml:space="preserve">Customer ownership or a clear license stated</w:t>
            </w:r>
          </w:p>
        </w:tc>
        <w:tc>
          <w:tcPr>
            <w:tcW w:w="2675" w:type="dxa"/>
          </w:tcPr>
          <w:p>
            <w:pPr>
              <w:spacing w:after="0"/>
            </w:pPr>
            <w:r>
              <w:t xml:space="preserve">Low for most AI tools</w:t>
            </w:r>
          </w:p>
        </w:tc>
        <w:tc>
          <w:tcPr>
            <w:tcW w:w="1216" w:type="dxa"/>
          </w:tcPr>
          <w:p>
            <w:pPr>
              <w:spacing w:after="0"/>
            </w:pPr>
          </w:p>
        </w:tc>
        <w:tc>
          <w:tcPr>
            <w:tcW w:w="218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47" w:type="dxa"/>
          </w:tcPr>
          <w:p>
            <w:pPr>
              <w:spacing w:after="0"/>
            </w:pPr>
            <w:r>
              <w:t xml:space="preserve">19</w:t>
            </w:r>
          </w:p>
        </w:tc>
        <w:tc>
          <w:tcPr>
            <w:tcW w:w="3648" w:type="dxa"/>
          </w:tcPr>
          <w:p>
            <w:pPr>
              <w:spacing w:after="0"/>
            </w:pPr>
            <w:r>
              <w:t xml:space="preserve">Are there restrictions on industries or use cases?</w:t>
            </w:r>
          </w:p>
        </w:tc>
        <w:tc>
          <w:tcPr>
            <w:tcW w:w="3404" w:type="dxa"/>
          </w:tcPr>
          <w:p>
            <w:pPr>
              <w:spacing w:after="0"/>
            </w:pPr>
            <w:r>
              <w:t xml:space="preserve">Restrictions documented in the usage policy</w:t>
            </w:r>
          </w:p>
        </w:tc>
        <w:tc>
          <w:tcPr>
            <w:tcW w:w="2675" w:type="dxa"/>
          </w:tcPr>
          <w:p>
            <w:pPr>
              <w:spacing w:after="0"/>
            </w:pPr>
            <w:r>
              <w:t xml:space="preserve">Low, but unread policies catch teams out</w:t>
            </w:r>
          </w:p>
        </w:tc>
        <w:tc>
          <w:tcPr>
            <w:tcW w:w="1216" w:type="dxa"/>
          </w:tcPr>
          <w:p>
            <w:pPr>
              <w:spacing w:after="0"/>
            </w:pPr>
          </w:p>
        </w:tc>
        <w:tc>
          <w:tcPr>
            <w:tcW w:w="218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47" w:type="dxa"/>
          </w:tcPr>
          <w:p>
            <w:pPr>
              <w:spacing w:after="0"/>
            </w:pPr>
            <w:r>
              <w:t xml:space="preserve">20</w:t>
            </w:r>
          </w:p>
        </w:tc>
        <w:tc>
          <w:tcPr>
            <w:tcW w:w="3648" w:type="dxa"/>
          </w:tcPr>
          <w:p>
            <w:pPr>
              <w:spacing w:after="0"/>
            </w:pPr>
            <w:r>
              <w:t xml:space="preserve">What does the exit clause cover?</w:t>
            </w:r>
          </w:p>
        </w:tc>
        <w:tc>
          <w:tcPr>
            <w:tcW w:w="3404" w:type="dxa"/>
          </w:tcPr>
          <w:p>
            <w:pPr>
              <w:spacing w:after="0"/>
            </w:pPr>
            <w:r>
              <w:t xml:space="preserve">Data export and deletion within 30-60 days</w:t>
            </w:r>
          </w:p>
        </w:tc>
        <w:tc>
          <w:tcPr>
            <w:tcW w:w="2675" w:type="dxa"/>
          </w:tcPr>
          <w:p>
            <w:pPr>
              <w:spacing w:after="0"/>
            </w:pPr>
            <w:r>
              <w:t xml:space="preserve">Medium</w:t>
            </w:r>
          </w:p>
        </w:tc>
        <w:tc>
          <w:tcPr>
            <w:tcW w:w="1216" w:type="dxa"/>
          </w:tcPr>
          <w:p>
            <w:pPr>
              <w:spacing w:after="0"/>
            </w:pPr>
          </w:p>
        </w:tc>
        <w:tc>
          <w:tcPr>
            <w:tcW w:w="2188" w:type="dxa"/>
          </w:tcPr>
          <w:p>
            <w:pPr>
              <w:spacing w:after="0"/>
            </w:pPr>
          </w:p>
        </w:tc>
      </w:tr>
    </w:tbl>
    <w:p/>
    <w:p>
      <w:pPr>
        <w:pStyle w:val="Heading2"/>
      </w:pPr>
      <w:r>
        <w:t xml:space="preserve">Section 4 of 5: Compliance Documentation</w:t>
      </w:r>
    </w:p>
    <w:tbl>
      <w:tblPr>
        <w:tblStyle w:val="TableGrid"/>
        <w:tblW w:w="13680" w:type="dxa"/>
        <w:tblLayout w:type="fixed"/>
      </w:tblPr>
      <w:tblGrid>
        <w:gridCol w:w="547"/>
        <w:gridCol w:w="3648"/>
        <w:gridCol w:w="3404"/>
        <w:gridCol w:w="2675"/>
        <w:gridCol w:w="1216"/>
        <w:gridCol w:w="2188"/>
      </w:tblGrid>
      <w:tr>
        <w:trPr>
          <w:tblHeader/>
        </w:trPr>
        <w:tc>
          <w:tcPr>
            <w:tcW w:w="547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3648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Question</w:t>
            </w:r>
          </w:p>
        </w:tc>
        <w:tc>
          <w:tcPr>
            <w:tcW w:w="3404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Pass criterion</w:t>
            </w:r>
          </w:p>
        </w:tc>
        <w:tc>
          <w:tcPr>
            <w:tcW w:w="2675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Vendor deflection risk</w:t>
            </w:r>
          </w:p>
        </w:tc>
        <w:tc>
          <w:tcPr>
            <w:tcW w:w="1216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Result</w:t>
            </w:r>
          </w:p>
        </w:tc>
        <w:tc>
          <w:tcPr>
            <w:tcW w:w="2188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Notes</w:t>
            </w:r>
          </w:p>
        </w:tc>
      </w:tr>
      <w:tr>
        <w:trPr>
          <w:cantSplit/>
        </w:trPr>
        <w:tc>
          <w:tcPr>
            <w:tcW w:w="547" w:type="dxa"/>
          </w:tcPr>
          <w:p>
            <w:pPr>
              <w:spacing w:after="0"/>
            </w:pPr>
            <w:r>
              <w:t xml:space="preserve">21</w:t>
            </w:r>
          </w:p>
        </w:tc>
        <w:tc>
          <w:tcPr>
            <w:tcW w:w="3648" w:type="dxa"/>
          </w:tcPr>
          <w:p>
            <w:pPr>
              <w:spacing w:after="0"/>
            </w:pPr>
            <w:r>
              <w:t xml:space="preserve">If EU personal data is processed, does the DPA meet GDPR Article 28 and cover transfers?</w:t>
            </w:r>
          </w:p>
        </w:tc>
        <w:tc>
          <w:tcPr>
            <w:tcW w:w="3404" w:type="dxa"/>
          </w:tcPr>
          <w:p>
            <w:pPr>
              <w:spacing w:after="0"/>
            </w:pPr>
            <w:r>
              <w:t xml:space="preserve">Yes, Article 28 terms plus SCCs or an adequacy basis where needed</w:t>
            </w:r>
          </w:p>
        </w:tc>
        <w:tc>
          <w:tcPr>
            <w:tcW w:w="2675" w:type="dxa"/>
          </w:tcPr>
          <w:p>
            <w:pPr>
              <w:spacing w:after="0"/>
            </w:pPr>
            <w:r>
              <w:t xml:space="preserve">Low for established vendors</w:t>
            </w:r>
          </w:p>
        </w:tc>
        <w:tc>
          <w:tcPr>
            <w:tcW w:w="1216" w:type="dxa"/>
          </w:tcPr>
          <w:p>
            <w:pPr>
              <w:spacing w:after="0"/>
            </w:pPr>
          </w:p>
        </w:tc>
        <w:tc>
          <w:tcPr>
            <w:tcW w:w="218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47" w:type="dxa"/>
          </w:tcPr>
          <w:p>
            <w:pPr>
              <w:spacing w:after="0"/>
            </w:pPr>
            <w:r>
              <w:t xml:space="preserve">22</w:t>
            </w:r>
          </w:p>
        </w:tc>
        <w:tc>
          <w:tcPr>
            <w:tcW w:w="3648" w:type="dxa"/>
          </w:tcPr>
          <w:p>
            <w:pPr>
              <w:spacing w:after="0"/>
            </w:pPr>
            <w:r>
              <w:t xml:space="preserve">If California residents' data is processed, does the contract meet the CCPA service provider rules?</w:t>
            </w:r>
          </w:p>
        </w:tc>
        <w:tc>
          <w:tcPr>
            <w:tcW w:w="3404" w:type="dxa"/>
          </w:tcPr>
          <w:p>
            <w:pPr>
              <w:spacing w:after="0"/>
            </w:pPr>
            <w:r>
              <w:t xml:space="preserve">Yes, a written contract with the terms in the CCPA regulations</w:t>
            </w:r>
          </w:p>
        </w:tc>
        <w:tc>
          <w:tcPr>
            <w:tcW w:w="2675" w:type="dxa"/>
          </w:tcPr>
          <w:p>
            <w:pPr>
              <w:spacing w:after="0"/>
            </w:pPr>
            <w:r>
              <w:t xml:space="preserve">Medium</w:t>
            </w:r>
          </w:p>
        </w:tc>
        <w:tc>
          <w:tcPr>
            <w:tcW w:w="1216" w:type="dxa"/>
          </w:tcPr>
          <w:p>
            <w:pPr>
              <w:spacing w:after="0"/>
            </w:pPr>
          </w:p>
        </w:tc>
        <w:tc>
          <w:tcPr>
            <w:tcW w:w="218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47" w:type="dxa"/>
          </w:tcPr>
          <w:p>
            <w:pPr>
              <w:spacing w:after="0"/>
            </w:pPr>
            <w:r>
              <w:t xml:space="preserve">23</w:t>
            </w:r>
          </w:p>
        </w:tc>
        <w:tc>
          <w:tcPr>
            <w:tcW w:w="3648" w:type="dxa"/>
          </w:tcPr>
          <w:p>
            <w:pPr>
              <w:spacing w:after="0"/>
            </w:pPr>
            <w:r>
              <w:t xml:space="preserve">If PHI is processed, is a HIPAA Business Associate Agreement (BAA) available for the features you will use?</w:t>
            </w:r>
          </w:p>
        </w:tc>
        <w:tc>
          <w:tcPr>
            <w:tcW w:w="3404" w:type="dxa"/>
          </w:tcPr>
          <w:p>
            <w:pPr>
              <w:spacing w:after="0"/>
            </w:pPr>
            <w:r>
              <w:t xml:space="preserve">Yes, signed before any PHI is entered</w:t>
            </w:r>
          </w:p>
        </w:tc>
        <w:tc>
          <w:tcPr>
            <w:tcW w:w="2675" w:type="dxa"/>
          </w:tcPr>
          <w:p>
            <w:pPr>
              <w:spacing w:after="0"/>
            </w:pPr>
            <w:r>
              <w:t xml:space="preserve">Medium, coverage often excludes some features</w:t>
            </w:r>
          </w:p>
        </w:tc>
        <w:tc>
          <w:tcPr>
            <w:tcW w:w="1216" w:type="dxa"/>
          </w:tcPr>
          <w:p>
            <w:pPr>
              <w:spacing w:after="0"/>
            </w:pPr>
          </w:p>
        </w:tc>
        <w:tc>
          <w:tcPr>
            <w:tcW w:w="218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47" w:type="dxa"/>
          </w:tcPr>
          <w:p>
            <w:pPr>
              <w:spacing w:after="0"/>
            </w:pPr>
            <w:r>
              <w:t xml:space="preserve">24</w:t>
            </w:r>
          </w:p>
        </w:tc>
        <w:tc>
          <w:tcPr>
            <w:tcW w:w="3648" w:type="dxa"/>
          </w:tcPr>
          <w:p>
            <w:pPr>
              <w:spacing w:after="0"/>
            </w:pPr>
            <w:r>
              <w:t xml:space="preserve">Will the vendor give you what you need for your own Data Protection Impact Assessment (DPIA)?</w:t>
            </w:r>
          </w:p>
        </w:tc>
        <w:tc>
          <w:tcPr>
            <w:tcW w:w="3404" w:type="dxa"/>
          </w:tcPr>
          <w:p>
            <w:pPr>
              <w:spacing w:after="0"/>
            </w:pPr>
            <w:r>
              <w:t xml:space="preserve">Yes, documentation on request</w:t>
            </w:r>
          </w:p>
        </w:tc>
        <w:tc>
          <w:tcPr>
            <w:tcW w:w="2675" w:type="dxa"/>
          </w:tcPr>
          <w:p>
            <w:pPr>
              <w:spacing w:after="0"/>
            </w:pPr>
            <w:r>
              <w:t xml:space="preserve">Medium</w:t>
            </w:r>
          </w:p>
        </w:tc>
        <w:tc>
          <w:tcPr>
            <w:tcW w:w="1216" w:type="dxa"/>
          </w:tcPr>
          <w:p>
            <w:pPr>
              <w:spacing w:after="0"/>
            </w:pPr>
          </w:p>
        </w:tc>
        <w:tc>
          <w:tcPr>
            <w:tcW w:w="218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47" w:type="dxa"/>
          </w:tcPr>
          <w:p>
            <w:pPr>
              <w:spacing w:after="0"/>
            </w:pPr>
            <w:r>
              <w:t xml:space="preserve">25</w:t>
            </w:r>
          </w:p>
        </w:tc>
        <w:tc>
          <w:tcPr>
            <w:tcW w:w="3648" w:type="dxa"/>
          </w:tcPr>
          <w:p>
            <w:pPr>
              <w:spacing w:after="0"/>
            </w:pPr>
            <w:r>
              <w:t xml:space="preserve">Has the vendor assessed whether its system falls under the EU AI Act, and in which risk category?</w:t>
            </w:r>
          </w:p>
        </w:tc>
        <w:tc>
          <w:tcPr>
            <w:tcW w:w="3404" w:type="dxa"/>
          </w:tcPr>
          <w:p>
            <w:pPr>
              <w:spacing w:after="0"/>
            </w:pPr>
            <w:r>
              <w:t xml:space="preserve">Classification documented, with instructions for use for high-risk systems</w:t>
            </w:r>
          </w:p>
        </w:tc>
        <w:tc>
          <w:tcPr>
            <w:tcW w:w="2675" w:type="dxa"/>
          </w:tcPr>
          <w:p>
            <w:pPr>
              <w:spacing w:after="0"/>
            </w:pPr>
            <w:r>
              <w:t xml:space="preserve">High</w:t>
            </w:r>
          </w:p>
        </w:tc>
        <w:tc>
          <w:tcPr>
            <w:tcW w:w="1216" w:type="dxa"/>
          </w:tcPr>
          <w:p>
            <w:pPr>
              <w:spacing w:after="0"/>
            </w:pPr>
          </w:p>
        </w:tc>
        <w:tc>
          <w:tcPr>
            <w:tcW w:w="2188" w:type="dxa"/>
          </w:tcPr>
          <w:p>
            <w:pPr>
              <w:spacing w:after="0"/>
            </w:pPr>
          </w:p>
        </w:tc>
      </w:tr>
    </w:tbl>
    <w:p/>
    <w:p>
      <w:pPr>
        <w:pStyle w:val="Heading2"/>
      </w:pPr>
      <w:r>
        <w:t xml:space="preserve">Section 5 of 5: Operational Reliability</w:t>
      </w:r>
    </w:p>
    <w:tbl>
      <w:tblPr>
        <w:tblStyle w:val="TableGrid"/>
        <w:tblW w:w="13680" w:type="dxa"/>
        <w:tblLayout w:type="fixed"/>
      </w:tblPr>
      <w:tblGrid>
        <w:gridCol w:w="547"/>
        <w:gridCol w:w="3648"/>
        <w:gridCol w:w="3404"/>
        <w:gridCol w:w="2675"/>
        <w:gridCol w:w="1216"/>
        <w:gridCol w:w="2188"/>
      </w:tblGrid>
      <w:tr>
        <w:trPr>
          <w:tblHeader/>
        </w:trPr>
        <w:tc>
          <w:tcPr>
            <w:tcW w:w="547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3648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Question</w:t>
            </w:r>
          </w:p>
        </w:tc>
        <w:tc>
          <w:tcPr>
            <w:tcW w:w="3404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Pass criterion</w:t>
            </w:r>
          </w:p>
        </w:tc>
        <w:tc>
          <w:tcPr>
            <w:tcW w:w="2675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Vendor deflection risk</w:t>
            </w:r>
          </w:p>
        </w:tc>
        <w:tc>
          <w:tcPr>
            <w:tcW w:w="1216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Result</w:t>
            </w:r>
          </w:p>
        </w:tc>
        <w:tc>
          <w:tcPr>
            <w:tcW w:w="2188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Notes</w:t>
            </w:r>
          </w:p>
        </w:tc>
      </w:tr>
      <w:tr>
        <w:trPr>
          <w:cantSplit/>
        </w:trPr>
        <w:tc>
          <w:tcPr>
            <w:tcW w:w="547" w:type="dxa"/>
          </w:tcPr>
          <w:p>
            <w:pPr>
              <w:spacing w:after="0"/>
            </w:pPr>
            <w:r>
              <w:t xml:space="preserve">26</w:t>
            </w:r>
          </w:p>
        </w:tc>
        <w:tc>
          <w:tcPr>
            <w:tcW w:w="3648" w:type="dxa"/>
          </w:tcPr>
          <w:p>
            <w:pPr>
              <w:spacing w:after="0"/>
            </w:pPr>
            <w:r>
              <w:t xml:space="preserve">What is the vendor's uptime SLA?</w:t>
            </w:r>
          </w:p>
        </w:tc>
        <w:tc>
          <w:tcPr>
            <w:tcW w:w="3404" w:type="dxa"/>
          </w:tcPr>
          <w:p>
            <w:pPr>
              <w:spacing w:after="0"/>
            </w:pPr>
            <w:r>
              <w:t xml:space="preserve">99.9% or better, with a remedy for misses</w:t>
            </w:r>
          </w:p>
        </w:tc>
        <w:tc>
          <w:tcPr>
            <w:tcW w:w="2675" w:type="dxa"/>
          </w:tcPr>
          <w:p>
            <w:pPr>
              <w:spacing w:after="0"/>
            </w:pPr>
            <w:r>
              <w:t xml:space="preserve">Low</w:t>
            </w:r>
          </w:p>
        </w:tc>
        <w:tc>
          <w:tcPr>
            <w:tcW w:w="1216" w:type="dxa"/>
          </w:tcPr>
          <w:p>
            <w:pPr>
              <w:spacing w:after="0"/>
            </w:pPr>
          </w:p>
        </w:tc>
        <w:tc>
          <w:tcPr>
            <w:tcW w:w="218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47" w:type="dxa"/>
          </w:tcPr>
          <w:p>
            <w:pPr>
              <w:spacing w:after="0"/>
            </w:pPr>
            <w:r>
              <w:t xml:space="preserve">27</w:t>
            </w:r>
          </w:p>
        </w:tc>
        <w:tc>
          <w:tcPr>
            <w:tcW w:w="3648" w:type="dxa"/>
          </w:tcPr>
          <w:p>
            <w:pPr>
              <w:spacing w:after="0"/>
            </w:pPr>
            <w:r>
              <w:t xml:space="preserve">Can you pin a model version, and are changes announced?</w:t>
            </w:r>
          </w:p>
        </w:tc>
        <w:tc>
          <w:tcPr>
            <w:tcW w:w="3404" w:type="dxa"/>
          </w:tcPr>
          <w:p>
            <w:pPr>
              <w:spacing w:after="0"/>
            </w:pPr>
            <w:r>
              <w:t xml:space="preserve">Pinned model IDs available and a public changelog</w:t>
            </w:r>
          </w:p>
        </w:tc>
        <w:tc>
          <w:tcPr>
            <w:tcW w:w="2675" w:type="dxa"/>
          </w:tcPr>
          <w:p>
            <w:pPr>
              <w:spacing w:after="0"/>
            </w:pPr>
            <w:r>
              <w:t xml:space="preserve">Medium</w:t>
            </w:r>
          </w:p>
        </w:tc>
        <w:tc>
          <w:tcPr>
            <w:tcW w:w="1216" w:type="dxa"/>
          </w:tcPr>
          <w:p>
            <w:pPr>
              <w:spacing w:after="0"/>
            </w:pPr>
          </w:p>
        </w:tc>
        <w:tc>
          <w:tcPr>
            <w:tcW w:w="218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47" w:type="dxa"/>
          </w:tcPr>
          <w:p>
            <w:pPr>
              <w:spacing w:after="0"/>
            </w:pPr>
            <w:r>
              <w:t xml:space="preserve">28</w:t>
            </w:r>
          </w:p>
        </w:tc>
        <w:tc>
          <w:tcPr>
            <w:tcW w:w="3648" w:type="dxa"/>
          </w:tcPr>
          <w:p>
            <w:pPr>
              <w:spacing w:after="0"/>
            </w:pPr>
            <w:r>
              <w:t xml:space="preserve">What is the rate limit, and what happens when you hit it?</w:t>
            </w:r>
          </w:p>
        </w:tc>
        <w:tc>
          <w:tcPr>
            <w:tcW w:w="3404" w:type="dxa"/>
          </w:tcPr>
          <w:p>
            <w:pPr>
              <w:spacing w:after="0"/>
            </w:pPr>
            <w:r>
              <w:t xml:space="preserve">Documented limit with predictable behavior</w:t>
            </w:r>
          </w:p>
        </w:tc>
        <w:tc>
          <w:tcPr>
            <w:tcW w:w="2675" w:type="dxa"/>
          </w:tcPr>
          <w:p>
            <w:pPr>
              <w:spacing w:after="0"/>
            </w:pPr>
            <w:r>
              <w:t xml:space="preserve">Low</w:t>
            </w:r>
          </w:p>
        </w:tc>
        <w:tc>
          <w:tcPr>
            <w:tcW w:w="1216" w:type="dxa"/>
          </w:tcPr>
          <w:p>
            <w:pPr>
              <w:spacing w:after="0"/>
            </w:pPr>
          </w:p>
        </w:tc>
        <w:tc>
          <w:tcPr>
            <w:tcW w:w="218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47" w:type="dxa"/>
          </w:tcPr>
          <w:p>
            <w:pPr>
              <w:spacing w:after="0"/>
            </w:pPr>
            <w:r>
              <w:t xml:space="preserve">29</w:t>
            </w:r>
          </w:p>
        </w:tc>
        <w:tc>
          <w:tcPr>
            <w:tcW w:w="3648" w:type="dxa"/>
          </w:tcPr>
          <w:p>
            <w:pPr>
              <w:spacing w:after="0"/>
            </w:pPr>
            <w:r>
              <w:t xml:space="preserve">What is the minimum notice before a model is retired?</w:t>
            </w:r>
          </w:p>
        </w:tc>
        <w:tc>
          <w:tcPr>
            <w:tcW w:w="3404" w:type="dxa"/>
          </w:tcPr>
          <w:p>
            <w:pPr>
              <w:spacing w:after="0"/>
            </w:pPr>
            <w:r>
              <w:t xml:space="preserve">A published notice period that covers your migration time</w:t>
            </w:r>
          </w:p>
        </w:tc>
        <w:tc>
          <w:tcPr>
            <w:tcW w:w="2675" w:type="dxa"/>
          </w:tcPr>
          <w:p>
            <w:pPr>
              <w:spacing w:after="0"/>
            </w:pPr>
            <w:r>
              <w:t xml:space="preserve">Medium, periods differ widely</w:t>
            </w:r>
          </w:p>
        </w:tc>
        <w:tc>
          <w:tcPr>
            <w:tcW w:w="1216" w:type="dxa"/>
          </w:tcPr>
          <w:p>
            <w:pPr>
              <w:spacing w:after="0"/>
            </w:pPr>
          </w:p>
        </w:tc>
        <w:tc>
          <w:tcPr>
            <w:tcW w:w="218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47" w:type="dxa"/>
          </w:tcPr>
          <w:p>
            <w:pPr>
              <w:spacing w:after="0"/>
            </w:pPr>
            <w:r>
              <w:t xml:space="preserve">30</w:t>
            </w:r>
          </w:p>
        </w:tc>
        <w:tc>
          <w:tcPr>
            <w:tcW w:w="3648" w:type="dxa"/>
          </w:tcPr>
          <w:p>
            <w:pPr>
              <w:spacing w:after="0"/>
            </w:pPr>
            <w:r>
              <w:t xml:space="preserve">Does the vendor have a disaster recovery plan?</w:t>
            </w:r>
          </w:p>
        </w:tc>
        <w:tc>
          <w:tcPr>
            <w:tcW w:w="3404" w:type="dxa"/>
          </w:tcPr>
          <w:p>
            <w:pPr>
              <w:spacing w:after="0"/>
            </w:pPr>
            <w:r>
              <w:t xml:space="preserve">Yes, RTO and RPO documented</w:t>
            </w:r>
          </w:p>
        </w:tc>
        <w:tc>
          <w:tcPr>
            <w:tcW w:w="2675" w:type="dxa"/>
          </w:tcPr>
          <w:p>
            <w:pPr>
              <w:spacing w:after="0"/>
            </w:pPr>
            <w:r>
              <w:t xml:space="preserve">Medium</w:t>
            </w:r>
          </w:p>
        </w:tc>
        <w:tc>
          <w:tcPr>
            <w:tcW w:w="1216" w:type="dxa"/>
          </w:tcPr>
          <w:p>
            <w:pPr>
              <w:spacing w:after="0"/>
            </w:pPr>
          </w:p>
        </w:tc>
        <w:tc>
          <w:tcPr>
            <w:tcW w:w="2188" w:type="dxa"/>
          </w:tcPr>
          <w:p>
            <w:pPr>
              <w:spacing w:after="0"/>
            </w:pPr>
          </w:p>
        </w:tc>
      </w:tr>
    </w:tbl>
    <w:p/>
    <w:p>
      <w:pPr>
        <w:pStyle w:val="Heading2"/>
      </w:pPr>
      <w:r>
        <w:t xml:space="preserve">Scoring and decision</w:t>
      </w:r>
    </w:p>
    <w:tbl>
      <w:tblPr>
        <w:tblStyle w:val="TableGrid"/>
        <w:tblW w:w="13680" w:type="dxa"/>
        <w:tblLayout w:type="fixed"/>
      </w:tblPr>
      <w:tblGrid>
        <w:gridCol w:w="3420"/>
        <w:gridCol w:w="10260"/>
      </w:tblGrid>
      <w:tr>
        <w:trPr>
          <w:tblHeader/>
        </w:trPr>
        <w:tc>
          <w:tcPr>
            <w:tcW w:w="3420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Score</w:t>
            </w:r>
          </w:p>
        </w:tc>
        <w:tc>
          <w:tcPr>
            <w:tcW w:w="10260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Recommendation</w:t>
            </w:r>
          </w:p>
        </w:tc>
      </w:tr>
      <w:tr>
        <w:trPr>
          <w:cantSplit/>
        </w:trPr>
        <w:tc>
          <w:tcPr>
            <w:tcW w:w="3420" w:type="dxa"/>
          </w:tcPr>
          <w:p>
            <w:pPr>
              <w:spacing w:after="0"/>
            </w:pPr>
            <w:r>
              <w:t xml:space="preserve">0 fail answers</w:t>
            </w:r>
          </w:p>
        </w:tc>
        <w:tc>
          <w:tcPr>
            <w:tcW w:w="10260" w:type="dxa"/>
          </w:tcPr>
          <w:p>
            <w:pPr>
              <w:spacing w:after="0"/>
            </w:pPr>
            <w:r>
              <w:t xml:space="preserve">Proceed, sign the DPA and add the tool to the approved list</w:t>
            </w:r>
          </w:p>
        </w:tc>
      </w:tr>
      <w:tr>
        <w:trPr>
          <w:cantSplit/>
        </w:trPr>
        <w:tc>
          <w:tcPr>
            <w:tcW w:w="3420" w:type="dxa"/>
          </w:tcPr>
          <w:p>
            <w:pPr>
              <w:spacing w:after="0"/>
            </w:pPr>
            <w:r>
              <w:t xml:space="preserve">1-2 fail answers</w:t>
            </w:r>
          </w:p>
        </w:tc>
        <w:tc>
          <w:tcPr>
            <w:tcW w:w="10260" w:type="dxa"/>
          </w:tcPr>
          <w:p>
            <w:pPr>
              <w:spacing w:after="0"/>
            </w:pPr>
            <w:r>
              <w:t xml:space="preserve">Negotiate, most fails can be fixed in contract language</w:t>
            </w:r>
          </w:p>
        </w:tc>
      </w:tr>
      <w:tr>
        <w:trPr>
          <w:cantSplit/>
        </w:trPr>
        <w:tc>
          <w:tcPr>
            <w:tcW w:w="3420" w:type="dxa"/>
          </w:tcPr>
          <w:p>
            <w:pPr>
              <w:spacing w:after="0"/>
            </w:pPr>
            <w:r>
              <w:t xml:space="preserve">3-4 fail answers</w:t>
            </w:r>
          </w:p>
        </w:tc>
        <w:tc>
          <w:tcPr>
            <w:tcW w:w="10260" w:type="dxa"/>
          </w:tcPr>
          <w:p>
            <w:pPr>
              <w:spacing w:after="0"/>
            </w:pPr>
            <w:r>
              <w:t xml:space="preserve">Escalate, legal review before proceeding</w:t>
            </w:r>
          </w:p>
        </w:tc>
      </w:tr>
      <w:tr>
        <w:trPr>
          <w:cantSplit/>
        </w:trPr>
        <w:tc>
          <w:tcPr>
            <w:tcW w:w="3420" w:type="dxa"/>
          </w:tcPr>
          <w:p>
            <w:pPr>
              <w:spacing w:after="0"/>
            </w:pPr>
            <w:r>
              <w:t xml:space="preserve">5 or more fail answers</w:t>
            </w:r>
          </w:p>
        </w:tc>
        <w:tc>
          <w:tcPr>
            <w:tcW w:w="10260" w:type="dxa"/>
          </w:tcPr>
          <w:p>
            <w:pPr>
              <w:spacing w:after="0"/>
            </w:pPr>
            <w:r>
              <w:t xml:space="preserve">Reject, or require major remediation before any use</w:t>
            </w:r>
          </w:p>
        </w:tc>
      </w:tr>
    </w:tbl>
    <w:p/>
    <w:p>
      <w:pPr>
        <w:pStyle w:val="Heading2"/>
      </w:pPr>
      <w:r>
        <w:t xml:space="preserve">Vendor assessment record</w:t>
      </w:r>
    </w:p>
    <w:tbl>
      <w:tblPr>
        <w:tblStyle w:val="TableGrid"/>
        <w:tblW w:w="13680" w:type="dxa"/>
        <w:tblLayout w:type="fixed"/>
      </w:tblPr>
      <w:tblGrid>
        <w:gridCol w:w="5632"/>
        <w:gridCol w:w="8047"/>
      </w:tblGrid>
      <w:tr>
        <w:trPr>
          <w:tblHeader/>
        </w:trPr>
        <w:tc>
          <w:tcPr>
            <w:tcW w:w="5632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Field</w:t>
            </w:r>
          </w:p>
        </w:tc>
        <w:tc>
          <w:tcPr>
            <w:tcW w:w="8047" w:type="dxa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Entry</w:t>
            </w:r>
          </w:p>
        </w:tc>
      </w:tr>
      <w:tr>
        <w:trPr>
          <w:cantSplit/>
        </w:trPr>
        <w:tc>
          <w:tcPr>
            <w:tcW w:w="5632" w:type="dxa"/>
          </w:tcPr>
          <w:p>
            <w:pPr>
              <w:spacing w:after="0"/>
            </w:pPr>
            <w:r>
              <w:t xml:space="preserve">Vendor name</w:t>
            </w:r>
          </w:p>
        </w:tc>
        <w:tc>
          <w:tcPr>
            <w:tcW w:w="8047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632" w:type="dxa"/>
          </w:tcPr>
          <w:p>
            <w:pPr>
              <w:spacing w:after="0"/>
            </w:pPr>
            <w:r>
              <w:t xml:space="preserve">Tool / product and plan assessed</w:t>
            </w:r>
          </w:p>
        </w:tc>
        <w:tc>
          <w:tcPr>
            <w:tcW w:w="8047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632" w:type="dxa"/>
          </w:tcPr>
          <w:p>
            <w:pPr>
              <w:spacing w:after="0"/>
            </w:pPr>
            <w:r>
              <w:t xml:space="preserve">Date of assessment</w:t>
            </w:r>
          </w:p>
        </w:tc>
        <w:tc>
          <w:tcPr>
            <w:tcW w:w="8047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632" w:type="dxa"/>
          </w:tcPr>
          <w:p>
            <w:pPr>
              <w:spacing w:after="0"/>
            </w:pPr>
            <w:r>
              <w:t xml:space="preserve">Assessor</w:t>
            </w:r>
          </w:p>
        </w:tc>
        <w:tc>
          <w:tcPr>
            <w:tcW w:w="8047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632" w:type="dxa"/>
          </w:tcPr>
          <w:p>
            <w:pPr>
              <w:spacing w:after="0"/>
            </w:pPr>
            <w:r>
              <w:t xml:space="preserve">Risk tier (Low / Medium / High)</w:t>
            </w:r>
          </w:p>
        </w:tc>
        <w:tc>
          <w:tcPr>
            <w:tcW w:w="8047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632" w:type="dxa"/>
          </w:tcPr>
          <w:p>
            <w:pPr>
              <w:spacing w:after="0"/>
            </w:pPr>
            <w:r>
              <w:t xml:space="preserve">Sections completed</w:t>
            </w:r>
          </w:p>
        </w:tc>
        <w:tc>
          <w:tcPr>
            <w:tcW w:w="8047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632" w:type="dxa"/>
          </w:tcPr>
          <w:p>
            <w:pPr>
              <w:spacing w:after="0"/>
            </w:pPr>
            <w:r>
              <w:t xml:space="preserve">Fail count</w:t>
            </w:r>
          </w:p>
        </w:tc>
        <w:tc>
          <w:tcPr>
            <w:tcW w:w="8047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632" w:type="dxa"/>
          </w:tcPr>
          <w:p>
            <w:pPr>
              <w:spacing w:after="0"/>
            </w:pPr>
            <w:r>
              <w:t xml:space="preserve">DPA signed (Y/N/Pending)</w:t>
            </w:r>
          </w:p>
        </w:tc>
        <w:tc>
          <w:tcPr>
            <w:tcW w:w="8047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632" w:type="dxa"/>
          </w:tcPr>
          <w:p>
            <w:pPr>
              <w:spacing w:after="0"/>
            </w:pPr>
            <w:r>
              <w:t xml:space="preserve">Training exclusion confirmed, with URL (Y/N/N/A)</w:t>
            </w:r>
          </w:p>
        </w:tc>
        <w:tc>
          <w:tcPr>
            <w:tcW w:w="8047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632" w:type="dxa"/>
          </w:tcPr>
          <w:p>
            <w:pPr>
              <w:spacing w:after="0"/>
            </w:pPr>
            <w:r>
              <w:t xml:space="preserve">Breach notice limit and deletion window from the DPA</w:t>
            </w:r>
          </w:p>
        </w:tc>
        <w:tc>
          <w:tcPr>
            <w:tcW w:w="8047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632" w:type="dxa"/>
          </w:tcPr>
          <w:p>
            <w:pPr>
              <w:spacing w:after="0"/>
            </w:pPr>
            <w:r>
              <w:t xml:space="preserve">Model IDs in use and deprecation notice period</w:t>
            </w:r>
          </w:p>
        </w:tc>
        <w:tc>
          <w:tcPr>
            <w:tcW w:w="8047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632" w:type="dxa"/>
          </w:tcPr>
          <w:p>
            <w:pPr>
              <w:spacing w:after="0"/>
            </w:pPr>
            <w:r>
              <w:t xml:space="preserve">Decision</w:t>
            </w:r>
          </w:p>
        </w:tc>
        <w:tc>
          <w:tcPr>
            <w:tcW w:w="8047" w:type="dxa"/>
          </w:tcPr>
          <w:p>
            <w:pPr>
              <w:spacing w:after="0"/>
            </w:pPr>
            <w:r>
              <w:t xml:space="preserve">Approved / Rejected / Conditional</w:t>
            </w:r>
          </w:p>
        </w:tc>
      </w:tr>
      <w:tr>
        <w:trPr>
          <w:cantSplit/>
        </w:trPr>
        <w:tc>
          <w:tcPr>
            <w:tcW w:w="5632" w:type="dxa"/>
          </w:tcPr>
          <w:p>
            <w:pPr>
              <w:spacing w:after="0"/>
            </w:pPr>
            <w:r>
              <w:t xml:space="preserve">Conditions / remediation required</w:t>
            </w:r>
          </w:p>
        </w:tc>
        <w:tc>
          <w:tcPr>
            <w:tcW w:w="8047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5632" w:type="dxa"/>
          </w:tcPr>
          <w:p>
            <w:pPr>
              <w:spacing w:after="0"/>
            </w:pPr>
            <w:r>
              <w:t xml:space="preserve">Next review date</w:t>
            </w:r>
          </w:p>
        </w:tc>
        <w:tc>
          <w:tcPr>
            <w:tcW w:w="8047" w:type="dxa"/>
          </w:tcPr>
          <w:p>
            <w:pPr>
              <w:spacing w:after="0"/>
            </w:pPr>
          </w:p>
        </w:tc>
      </w:tr>
    </w:tbl>
    <w:p/>
    <w:sectPr>
      <w:pgSz w:w="15840" w:h="12240" w:orient="landscape"/>
      <w:pgMar w:top="1080" w:right="1080" w:bottom="1080" w:left="108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color w:val="1F3A5F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b/>
      <w:color w:val="1F3A5F"/>
      <w:sz w:val="27"/>
      <w:szCs w:val="27"/>
    </w:rPr>
  </w:style>
  <w:style w:type="paragraph" w:styleId="Heading3">
    <w:name w:val="heading 3"/>
    <w:basedOn w:val="Normal"/>
    <w:next w:val="Normal"/>
    <w:qFormat/>
    <w:pPr>
      <w:keepNext/>
      <w:spacing w:before="160" w:after="60"/>
      <w:outlineLvl w:val="2"/>
    </w:pPr>
    <w:rPr>
      <w:b/>
      <w:sz w:val="23"/>
      <w:szCs w:val="23"/>
    </w:rPr>
  </w:style>
  <w:style w:type="paragraph" w:styleId="ListParagraph">
    <w:name w:val="List Paragraph"/>
    <w:basedOn w:val="Normal"/>
    <w:qFormat/>
    <w:pPr>
      <w:spacing w:after="60"/>
      <w:ind w:left="720"/>
    </w:p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0AEC0"/>
        <w:left w:val="single" w:sz="4" w:space="0" w:color="A0AEC0"/>
        <w:bottom w:val="single" w:sz="4" w:space="0" w:color="A0AEC0"/>
        <w:right w:val="single" w:sz="4" w:space="0" w:color="A0AEC0"/>
        <w:insideH w:val="single" w:sz="4" w:space="0" w:color="A0AEC0"/>
        <w:insideV w:val="single" w:sz="4" w:space="0" w:color="A0AEC0"/>
      </w:tblBorders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AI vendor due diligence checklist</dc:title>
  <dc:creator>AI Policy Desk</dc:creator>
</cp:coreProperties>
</file>