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Shadow AI Policy</w:t>
      </w:r>
    </w:p>
    <w:p>
      <w:r>
        <w:rPr>
          <w:i/>
        </w:rPr>
        <w:t xml:space="preserve">From AI Policy Desk: https://www.aipolicydesk.com/blog/shadow-ai-policy-template (page updated 2026-10-22T03:00:00Z). Check the page for the latest version before you rely on it. Fill in the bracketed fields and delete this note before you publish the policy.</w:t>
      </w:r>
    </w:p>
    <w:p>
      <w:r>
        <w:t xml:space="preserve">Company: [Company name]</w:t>
      </w:r>
    </w:p>
    <w:p>
      <w:r>
        <w:t xml:space="preserve">Version: [number]</w:t>
      </w:r>
    </w:p>
    <w:p>
      <w:r>
        <w:t xml:space="preserve">Effective date: [Date]</w:t>
      </w:r>
    </w:p>
    <w:p>
      <w:r>
        <w:t xml:space="preserve">Policy owner: [Name], [Title]</w:t>
      </w:r>
    </w:p>
    <w:p>
      <w:r>
        <w:t xml:space="preserve">Contact for questions, requests and reports: [Email or chat channel]</w:t>
      </w:r>
    </w:p>
    <w:p>
      <w:pPr>
        <w:pStyle w:val="Heading2"/>
      </w:pPr>
      <w:r>
        <w:t xml:space="preserve">1. Purpose</w:t>
      </w:r>
    </w:p>
    <w:p>
      <w:r>
        <w:t xml:space="preserve">[Company name] wants you to use AI tools that help you work. This policy says which tools are approved, what data can go into them, how to get a new tool approved, and what to do if something goes wrong. It exists to protect customer and company data, not to stop you using AI.</w:t>
      </w:r>
    </w:p>
    <w:p>
      <w:pPr>
        <w:pStyle w:val="Heading2"/>
      </w:pPr>
      <w:r>
        <w:t xml:space="preserve">2. Scope</w:t>
      </w:r>
    </w:p>
    <w:p>
      <w:r>
        <w:t xml:space="preserve">This policy applies to all employees, contractors and freelancers who do work for [Company name], on company or personal devices. It covers:</w:t>
      </w:r>
    </w:p>
    <w:p>
      <w:pPr>
        <w:pStyle w:val="ListParagraph"/>
        <w:numPr>
          <w:ilvl w:val="0"/>
          <w:numId w:val="1"/>
        </w:numPr>
      </w:pPr>
      <w:r>
        <w:t xml:space="preserve">chatbots and AI assistants (for example ChatGPT, Claude, Gemini, Copilot, Perplexity);</w:t>
      </w:r>
    </w:p>
    <w:p>
      <w:pPr>
        <w:pStyle w:val="ListParagraph"/>
        <w:numPr>
          <w:ilvl w:val="0"/>
          <w:numId w:val="1"/>
        </w:numPr>
      </w:pPr>
      <w:r>
        <w:t xml:space="preserve">AI features inside software we already use (note takers, writing assistants, CRM and email features);</w:t>
      </w:r>
    </w:p>
    <w:p>
      <w:pPr>
        <w:pStyle w:val="ListParagraph"/>
        <w:numPr>
          <w:ilvl w:val="0"/>
          <w:numId w:val="1"/>
        </w:numPr>
      </w:pPr>
      <w:r>
        <w:t xml:space="preserve">browser extensions and coding assistants that send text or code to an AI service;</w:t>
      </w:r>
    </w:p>
    <w:p>
      <w:pPr>
        <w:pStyle w:val="ListParagraph"/>
        <w:numPr>
          <w:ilvl w:val="0"/>
          <w:numId w:val="1"/>
        </w:numPr>
      </w:pPr>
      <w:r>
        <w:t xml:space="preserve">AI agents that can read or act on email, files, calendars or other accounts.</w:t>
      </w:r>
    </w:p>
    <w:p>
      <w:pPr>
        <w:pStyle w:val="Heading2"/>
      </w:pPr>
      <w:r>
        <w:t xml:space="preserve">3. Definitions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Shadow AI:</w:t>
      </w:r>
      <w:r>
        <w:t xml:space="preserve"> any use of an AI tool or feature for company work that isn't on the approved list in section 4, or an approved tool used through a personal account.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Approved tool:</w:t>
      </w:r>
      <w:r>
        <w:t xml:space="preserve"> a tool on the list in section 4, used through a company account.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Public data:</w:t>
      </w:r>
      <w:r>
        <w:t xml:space="preserve"> information already published, such as our website and marketing material.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Internal data:</w:t>
      </w:r>
      <w:r>
        <w:t xml:space="preserve"> day-to-day company information that isn't public, such as internal documents, plans and non-sensitive emails. Examples: [add 2 or 3].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Restricted data:</w:t>
      </w:r>
      <w:r>
        <w:t xml:space="preserve"> customer personal data, health or financial records, passwords and keys, source code, contracts, pricing and anything under a confidentiality agreement. Examples: [add 2 or 3].</w:t>
      </w:r>
    </w:p>
    <w:p>
      <w:pPr>
        <w:pStyle w:val="Heading2"/>
      </w:pPr>
      <w:r>
        <w:t xml:space="preserve">4. Approved tools</w:t>
      </w:r>
    </w:p>
    <w:p>
      <w:r>
        <w:t xml:space="preserve">Use these tools for work, signed in with your company account. Personal accounts of the same tools are not approved for company data.</w:t>
      </w:r>
    </w:p>
    <w:tbl>
      <w:tblPr>
        <w:tblStyle w:val="TableGrid"/>
        <w:tblW w:w="10080" w:type="dxa"/>
        <w:tblLayout w:type="fixed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w="2016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Tool</w:t>
            </w:r>
          </w:p>
        </w:tc>
        <w:tc>
          <w:tcPr>
            <w:tcW w:w="2016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Account</w:t>
            </w:r>
          </w:p>
        </w:tc>
        <w:tc>
          <w:tcPr>
            <w:tcW w:w="2016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Approved for</w:t>
            </w:r>
          </w:p>
        </w:tc>
        <w:tc>
          <w:tcPr>
            <w:tcW w:w="2016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Data allowed</w:t>
            </w:r>
          </w:p>
        </w:tc>
        <w:tc>
          <w:tcPr>
            <w:tcW w:w="2016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Notes</w:t>
            </w:r>
          </w:p>
        </w:tc>
      </w:tr>
      <w:tr>
        <w:trPr>
          <w:cantSplit/>
        </w:trPr>
        <w:tc>
          <w:tcPr>
            <w:tcW w:w="2016" w:type="dxa"/>
          </w:tcPr>
          <w:p>
            <w:pPr>
              <w:spacing w:after="0"/>
            </w:pPr>
            <w:r>
              <w:t xml:space="preserve">[Tool name]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Company workspace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[Drafting, summarizing, research]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Public and internal; restricted only if listed here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[Training off by default on this plan]</w:t>
            </w:r>
          </w:p>
        </w:tc>
      </w:tr>
      <w:tr>
        <w:trPr>
          <w:cantSplit/>
        </w:trPr>
        <w:tc>
          <w:tcPr>
            <w:tcW w:w="2016" w:type="dxa"/>
          </w:tcPr>
          <w:p>
            <w:pPr>
              <w:spacing w:after="0"/>
            </w:pPr>
            <w:r>
              <w:t xml:space="preserve">[Tool name]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Company workspace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[Code help]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Public and internal; no passwords, keys or customer data</w:t>
            </w:r>
          </w:p>
        </w:tc>
        <w:tc>
          <w:tcPr>
            <w:tcW w:w="2016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2016" w:type="dxa"/>
          </w:tcPr>
          <w:p>
            <w:pPr>
              <w:spacing w:after="0"/>
            </w:pPr>
            <w:r>
              <w:t xml:space="preserve">[Add a row per tool]</w:t>
            </w:r>
          </w:p>
        </w:tc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</w:tr>
    </w:tbl>
    <w:p/>
    <w:p>
      <w:r>
        <w:t xml:space="preserve">The owner keeps this list at [link to wiki or shared drive] and updates it when a request is approved or a vendor changes its terms.</w:t>
      </w:r>
    </w:p>
    <w:p>
      <w:pPr>
        <w:pStyle w:val="Heading2"/>
      </w:pPr>
      <w:r>
        <w:t xml:space="preserve">5. Data rules</w:t>
      </w:r>
    </w:p>
    <w:tbl>
      <w:tblPr>
        <w:tblStyle w:val="TableGrid"/>
        <w:tblW w:w="10080" w:type="dxa"/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w="3360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Data</w:t>
            </w:r>
          </w:p>
        </w:tc>
        <w:tc>
          <w:tcPr>
            <w:tcW w:w="3360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Approved tool, company account</w:t>
            </w:r>
          </w:p>
        </w:tc>
        <w:tc>
          <w:tcPr>
            <w:tcW w:w="3360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Any other AI tool or personal account</w:t>
            </w:r>
          </w:p>
        </w:tc>
      </w:tr>
      <w:tr>
        <w:trPr>
          <w:cantSplit/>
        </w:trPr>
        <w:tc>
          <w:tcPr>
            <w:tcW w:w="3360" w:type="dxa"/>
          </w:tcPr>
          <w:p>
            <w:pPr>
              <w:spacing w:after="0"/>
            </w:pPr>
            <w:r>
              <w:t xml:space="preserve">Public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w="3360" w:type="dxa"/>
          </w:tcPr>
          <w:p>
            <w:pPr>
              <w:spacing w:after="0"/>
            </w:pPr>
            <w:r>
              <w:t xml:space="preserve">Internal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w="3360" w:type="dxa"/>
          </w:tcPr>
          <w:p>
            <w:pPr>
              <w:spacing w:after="0"/>
            </w:pPr>
            <w:r>
              <w:t xml:space="preserve">Restricted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Only tools marked for restricted data in section 4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Never</w:t>
            </w:r>
          </w:p>
        </w:tc>
      </w:tr>
    </w:tbl>
    <w:p/>
    <w:p>
      <w:r>
        <w:t xml:space="preserve">If you're not sure which class something is, treat it as restricted and ask.</w:t>
      </w:r>
    </w:p>
    <w:p>
      <w:pPr>
        <w:pStyle w:val="Heading2"/>
      </w:pPr>
      <w:r>
        <w:t xml:space="preserve">6. Asking for a new tool</w:t>
      </w:r>
    </w:p>
    <w:p>
      <w:r>
        <w:t xml:space="preserve">If you want to use a tool or AI feature that isn't listed, send the owner:</w:t>
      </w:r>
    </w:p>
    <w:p>
      <w:pPr>
        <w:pStyle w:val="ListParagraph"/>
        <w:numPr>
          <w:ilvl w:val="0"/>
          <w:numId w:val="1"/>
        </w:numPr>
      </w:pPr>
      <w:r>
        <w:t xml:space="preserve">the tool's name and website;</w:t>
      </w:r>
    </w:p>
    <w:p>
      <w:pPr>
        <w:pStyle w:val="ListParagraph"/>
        <w:numPr>
          <w:ilvl w:val="0"/>
          <w:numId w:val="1"/>
        </w:numPr>
      </w:pPr>
      <w:r>
        <w:t xml:space="preserve">what you'd use it for;</w:t>
      </w:r>
    </w:p>
    <w:p>
      <w:pPr>
        <w:pStyle w:val="ListParagraph"/>
        <w:numPr>
          <w:ilvl w:val="0"/>
          <w:numId w:val="1"/>
        </w:numPr>
      </w:pPr>
      <w:r>
        <w:t xml:space="preserve">what data would go into it;</w:t>
      </w:r>
    </w:p>
    <w:p>
      <w:pPr>
        <w:pStyle w:val="ListParagraph"/>
        <w:numPr>
          <w:ilvl w:val="0"/>
          <w:numId w:val="1"/>
        </w:numPr>
      </w:pPr>
      <w:r>
        <w:t xml:space="preserve">whether there's a company or team plan.</w:t>
      </w:r>
    </w:p>
    <w:p>
      <w:r>
        <w:t xml:space="preserve">The owner answers within five working days: approved (added to section 4), approved with limits, or not approved with a suggested alternative. Every request and answer goes into the request log. Until you get an answer, use the tool only with public data, or not at all.</w:t>
      </w:r>
    </w:p>
    <w:p>
      <w:pPr>
        <w:pStyle w:val="Heading2"/>
      </w:pPr>
      <w:r>
        <w:t xml:space="preserve">7. AI features, extensions and agents</w:t>
      </w:r>
    </w:p>
    <w:p>
      <w:pPr>
        <w:pStyle w:val="ListParagraph"/>
        <w:numPr>
          <w:ilvl w:val="0"/>
          <w:numId w:val="1"/>
        </w:numPr>
      </w:pPr>
      <w:r>
        <w:t xml:space="preserve">A new AI feature inside software we already use counts as a new tool if it sends our data to a different company or turns on by default. Ask before you switch it on for company data.</w:t>
      </w:r>
    </w:p>
    <w:p>
      <w:pPr>
        <w:pStyle w:val="ListParagraph"/>
        <w:numPr>
          <w:ilvl w:val="0"/>
          <w:numId w:val="1"/>
        </w:numPr>
      </w:pPr>
      <w:r>
        <w:t xml:space="preserve">Browser extensions and coding assistants need approval before you install them on a device you use for work.</w:t>
      </w:r>
    </w:p>
    <w:p>
      <w:pPr>
        <w:pStyle w:val="ListParagraph"/>
        <w:numPr>
          <w:ilvl w:val="0"/>
          <w:numId w:val="1"/>
        </w:numPr>
      </w:pPr>
      <w:r>
        <w:t xml:space="preserve">An AI agent that can read or act on email, files, calendars or other accounts needs written approval from the owner, with a list of what it can access. An agent has the same access as the account it runs under, so give it its own limited account where you can.</w:t>
      </w:r>
    </w:p>
    <w:p>
      <w:pPr>
        <w:pStyle w:val="Heading2"/>
      </w:pPr>
      <w:r>
        <w:t xml:space="preserve">8. Reporting a slip</w:t>
      </w:r>
    </w:p>
    <w:p>
      <w:r>
        <w:t xml:space="preserve">If you put internal or restricted data into a tool that isn't approved for it, tell [the owner] the same working day. Say which tool, what data and when.</w:t>
      </w:r>
    </w:p>
    <w:p>
      <w:pPr>
        <w:pStyle w:val="ListParagraph"/>
        <w:numPr>
          <w:ilvl w:val="0"/>
          <w:numId w:val="1"/>
        </w:numPr>
      </w:pPr>
      <w:r>
        <w:t xml:space="preserve">A first report is treated as a fix, not a disciplinary matter. We'll help you delete the conversation, check the tool's training setting and decide whether anyone needs to be told.</w:t>
      </w:r>
    </w:p>
    <w:p>
      <w:pPr>
        <w:pStyle w:val="ListParagraph"/>
        <w:numPr>
          <w:ilvl w:val="0"/>
          <w:numId w:val="1"/>
        </w:numPr>
      </w:pPr>
      <w:r>
        <w:t xml:space="preserve">Hiding a slip, or finding out about one that wasn't reported, is treated more seriously than the slip itself.</w:t>
      </w:r>
    </w:p>
    <w:p>
      <w:pPr>
        <w:pStyle w:val="ListParagraph"/>
        <w:numPr>
          <w:ilvl w:val="0"/>
          <w:numId w:val="1"/>
        </w:numPr>
      </w:pPr>
      <w:r>
        <w:t xml:space="preserve">If the data was customer personal data, the owner decides with [name] whether it's a data incident under our incident response plan.</w:t>
      </w:r>
    </w:p>
    <w:p>
      <w:pPr>
        <w:pStyle w:val="Heading2"/>
      </w:pPr>
      <w:r>
        <w:t xml:space="preserve">9. Training</w:t>
      </w:r>
    </w:p>
    <w:p>
      <w:r>
        <w:t xml:space="preserve">Everyone gets a short session on this policy when they join and once a year after that, covering the approved tools, the data rules and how to report a slip. The owner keeps a record of who attended.</w:t>
      </w:r>
    </w:p>
    <w:p>
      <w:pPr>
        <w:pStyle w:val="Heading2"/>
      </w:pPr>
      <w:r>
        <w:t xml:space="preserve">10. Breaking the policy</w:t>
      </w:r>
    </w:p>
    <w:p>
      <w:r>
        <w:t xml:space="preserve">Repeated or deliberate use of unapproved tools with restricted data, or ignoring a "not approved" answer, may lead to disciplinary action under [our disciplinary procedure]. Using a tool in good faith while a request is pending, with public data only, is not a breach.</w:t>
      </w:r>
    </w:p>
    <w:p>
      <w:pPr>
        <w:pStyle w:val="Heading2"/>
      </w:pPr>
      <w:r>
        <w:t xml:space="preserve">11. Review</w:t>
      </w:r>
    </w:p>
    <w:p>
      <w:r>
        <w:t xml:space="preserve">The owner reviews the approved tool list every quarter and this policy every year, or sooner if a vendor on the list changes how it uses customer data.</w:t>
      </w:r>
    </w:p>
    <w:p>
      <w:r>
        <w:t xml:space="preserve">Acknowledgment: I have read this policy and will follow it.</w:t>
      </w:r>
    </w:p>
    <w:p>
      <w:r>
        <w:t xml:space="preserve">Name: ________________________________</w:t>
      </w:r>
    </w:p>
    <w:p>
      <w:r>
        <w:t xml:space="preserve">Date: ________________________________</w:t>
      </w:r>
    </w:p>
    <w:sectPr>
      <w:pgSz w:w="12240" w:h="15840"/>
      <w:pgMar w:top="1080" w:right="1080" w:bottom="1080" w:left="108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color w:val="1F3A5F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color w:val="1F3A5F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spacing w:before="160" w:after="60"/>
      <w:outlineLvl w:val="2"/>
    </w:pPr>
    <w:rPr>
      <w:b/>
      <w:sz w:val="23"/>
      <w:szCs w:val="23"/>
    </w:rPr>
  </w:style>
  <w:style w:type="paragraph" w:styleId="ListParagraph">
    <w:name w:val="List Paragraph"/>
    <w:basedOn w:val="Normal"/>
    <w:qFormat/>
    <w:pPr>
      <w:spacing w:after="60"/>
      <w:ind w:left="720"/>
    </w:p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0AEC0"/>
        <w:left w:val="single" w:sz="4" w:space="0" w:color="A0AEC0"/>
        <w:bottom w:val="single" w:sz="4" w:space="0" w:color="A0AEC0"/>
        <w:right w:val="single" w:sz="4" w:space="0" w:color="A0AEC0"/>
        <w:insideH w:val="single" w:sz="4" w:space="0" w:color="A0AEC0"/>
        <w:insideV w:val="single" w:sz="4" w:space="0" w:color="A0AEC0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Shadow AI policy template</dc:title>
  <dc:creator>AI Policy Desk</dc:creator>
</cp:coreProperties>
</file>